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75" w:rsidRDefault="00952B62" w:rsidP="00354E75">
      <w:pPr>
        <w:pStyle w:val="lfej"/>
      </w:pPr>
      <w:r>
        <w:rPr>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-31750</wp:posOffset>
                </wp:positionV>
                <wp:extent cx="3886200" cy="906145"/>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382" w:rsidRPr="00952B62" w:rsidRDefault="00D32382" w:rsidP="00D32382">
                            <w:pPr>
                              <w:jc w:val="center"/>
                              <w:rPr>
                                <w:rFonts w:asciiTheme="majorHAnsi" w:hAnsiTheme="majorHAnsi" w:cs="Arial"/>
                                <w:b/>
                                <w:bCs/>
                                <w:sz w:val="18"/>
                                <w:szCs w:val="18"/>
                              </w:rPr>
                            </w:pPr>
                            <w:r w:rsidRPr="00952B62">
                              <w:rPr>
                                <w:rFonts w:asciiTheme="majorHAnsi" w:hAnsiTheme="majorHAnsi" w:cs="Arial"/>
                                <w:b/>
                                <w:bCs/>
                                <w:sz w:val="18"/>
                                <w:szCs w:val="18"/>
                              </w:rPr>
                              <w:t xml:space="preserve">AXON Pénzügyi és Lízing </w:t>
                            </w:r>
                            <w:r w:rsidR="00952B62">
                              <w:rPr>
                                <w:rFonts w:asciiTheme="majorHAnsi" w:hAnsiTheme="majorHAnsi" w:cs="Arial"/>
                                <w:b/>
                                <w:bCs/>
                                <w:sz w:val="18"/>
                                <w:szCs w:val="18"/>
                              </w:rPr>
                              <w:t>Zrt.</w:t>
                            </w:r>
                          </w:p>
                          <w:p w:rsidR="00D32382" w:rsidRPr="00952B62" w:rsidRDefault="00D32382" w:rsidP="00D32382">
                            <w:pPr>
                              <w:jc w:val="center"/>
                              <w:rPr>
                                <w:rFonts w:asciiTheme="majorHAnsi" w:hAnsiTheme="majorHAnsi" w:cs="Arial"/>
                                <w:sz w:val="18"/>
                                <w:szCs w:val="18"/>
                              </w:rPr>
                            </w:pPr>
                            <w:r w:rsidRPr="00952B62">
                              <w:rPr>
                                <w:rFonts w:asciiTheme="majorHAnsi" w:hAnsiTheme="majorHAnsi" w:cs="Arial"/>
                                <w:sz w:val="18"/>
                                <w:szCs w:val="18"/>
                              </w:rPr>
                              <w:t xml:space="preserve">székhely: </w:t>
                            </w:r>
                            <w:r w:rsidR="00952B62" w:rsidRPr="00952B62">
                              <w:rPr>
                                <w:rFonts w:asciiTheme="majorHAnsi" w:hAnsiTheme="majorHAnsi" w:cs="Arial"/>
                                <w:noProof/>
                                <w:sz w:val="18"/>
                                <w:szCs w:val="18"/>
                              </w:rPr>
                              <w:t>1023 Budapest, Ürömi út 48.</w:t>
                            </w:r>
                          </w:p>
                          <w:p w:rsidR="00D32382" w:rsidRPr="00952B62" w:rsidRDefault="00D32382" w:rsidP="00D32382">
                            <w:pPr>
                              <w:jc w:val="center"/>
                              <w:rPr>
                                <w:rFonts w:asciiTheme="majorHAnsi" w:hAnsiTheme="majorHAnsi" w:cs="Arial"/>
                                <w:sz w:val="18"/>
                                <w:szCs w:val="18"/>
                              </w:rPr>
                            </w:pPr>
                            <w:r w:rsidRPr="00952B62">
                              <w:rPr>
                                <w:rFonts w:asciiTheme="majorHAnsi" w:hAnsiTheme="majorHAnsi" w:cs="Arial"/>
                                <w:sz w:val="18"/>
                                <w:szCs w:val="18"/>
                              </w:rPr>
                              <w:t>levelezés: 5000 Szolnok, Szigligeti út 2.</w:t>
                            </w:r>
                          </w:p>
                          <w:p w:rsidR="00D32382" w:rsidRPr="00952B62" w:rsidRDefault="00D32382" w:rsidP="00D32382">
                            <w:pPr>
                              <w:jc w:val="center"/>
                              <w:rPr>
                                <w:rFonts w:asciiTheme="majorHAnsi" w:hAnsiTheme="majorHAnsi" w:cs="Arial"/>
                                <w:sz w:val="18"/>
                                <w:szCs w:val="18"/>
                              </w:rPr>
                            </w:pPr>
                            <w:r w:rsidRPr="00952B62">
                              <w:rPr>
                                <w:rFonts w:asciiTheme="majorHAnsi" w:hAnsiTheme="majorHAnsi" w:cs="Arial"/>
                                <w:sz w:val="18"/>
                                <w:szCs w:val="18"/>
                              </w:rPr>
                              <w:t xml:space="preserve">Tel.: 36 (56) </w:t>
                            </w:r>
                            <w:r w:rsidR="00952B62" w:rsidRPr="00952B62">
                              <w:rPr>
                                <w:rFonts w:asciiTheme="majorHAnsi" w:hAnsiTheme="majorHAnsi" w:cs="Arial"/>
                                <w:sz w:val="18"/>
                                <w:szCs w:val="18"/>
                              </w:rPr>
                              <w:t>799-190</w:t>
                            </w:r>
                            <w:r w:rsidRPr="00952B62">
                              <w:rPr>
                                <w:rFonts w:asciiTheme="majorHAnsi" w:hAnsiTheme="majorHAnsi" w:cs="Arial"/>
                                <w:sz w:val="18"/>
                                <w:szCs w:val="18"/>
                              </w:rPr>
                              <w:t xml:space="preserve">; Fax: 36 (56) </w:t>
                            </w:r>
                            <w:r w:rsidR="00952B62" w:rsidRPr="00952B62">
                              <w:rPr>
                                <w:rFonts w:asciiTheme="majorHAnsi" w:hAnsiTheme="majorHAnsi" w:cs="Arial"/>
                                <w:sz w:val="18"/>
                                <w:szCs w:val="18"/>
                              </w:rPr>
                              <w:t>79-185</w:t>
                            </w:r>
                          </w:p>
                          <w:p w:rsidR="00D32382" w:rsidRPr="00952B62" w:rsidRDefault="00D32382" w:rsidP="00D32382">
                            <w:pPr>
                              <w:jc w:val="center"/>
                              <w:rPr>
                                <w:rFonts w:asciiTheme="majorHAnsi" w:hAnsiTheme="majorHAnsi" w:cs="Arial"/>
                                <w:i/>
                                <w:iCs/>
                                <w:sz w:val="18"/>
                                <w:szCs w:val="18"/>
                              </w:rPr>
                            </w:pPr>
                            <w:r w:rsidRPr="00952B62">
                              <w:rPr>
                                <w:rFonts w:asciiTheme="majorHAnsi" w:hAnsiTheme="majorHAnsi" w:cs="Arial"/>
                                <w:sz w:val="18"/>
                                <w:szCs w:val="18"/>
                              </w:rPr>
                              <w:t>Web: http://www.axonrt.hu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7pt;margin-top:-2.5pt;width:306pt;height: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x1gg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" stroked="f">
                <v:textbox>
                  <w:txbxContent>
                    <w:p w:rsidR="00D32382" w:rsidRPr="00952B62" w:rsidRDefault="00D32382" w:rsidP="00D32382">
                      <w:pPr>
                        <w:jc w:val="center"/>
                        <w:rPr>
                          <w:rFonts w:asciiTheme="majorHAnsi" w:hAnsiTheme="majorHAnsi" w:cs="Arial"/>
                          <w:b/>
                          <w:bCs/>
                          <w:sz w:val="18"/>
                          <w:szCs w:val="18"/>
                        </w:rPr>
                      </w:pPr>
                      <w:r w:rsidRPr="00952B62">
                        <w:rPr>
                          <w:rFonts w:asciiTheme="majorHAnsi" w:hAnsiTheme="majorHAnsi" w:cs="Arial"/>
                          <w:b/>
                          <w:bCs/>
                          <w:sz w:val="18"/>
                          <w:szCs w:val="18"/>
                        </w:rPr>
                        <w:t xml:space="preserve">AXON Pénzügyi és Lízing </w:t>
                      </w:r>
                      <w:r w:rsidR="00952B62">
                        <w:rPr>
                          <w:rFonts w:asciiTheme="majorHAnsi" w:hAnsiTheme="majorHAnsi" w:cs="Arial"/>
                          <w:b/>
                          <w:bCs/>
                          <w:sz w:val="18"/>
                          <w:szCs w:val="18"/>
                        </w:rPr>
                        <w:t>Zrt.</w:t>
                      </w:r>
                    </w:p>
                    <w:p w:rsidR="00D32382" w:rsidRPr="00952B62" w:rsidRDefault="00D32382" w:rsidP="00D32382">
                      <w:pPr>
                        <w:jc w:val="center"/>
                        <w:rPr>
                          <w:rFonts w:asciiTheme="majorHAnsi" w:hAnsiTheme="majorHAnsi" w:cs="Arial"/>
                          <w:sz w:val="18"/>
                          <w:szCs w:val="18"/>
                        </w:rPr>
                      </w:pPr>
                      <w:r w:rsidRPr="00952B62">
                        <w:rPr>
                          <w:rFonts w:asciiTheme="majorHAnsi" w:hAnsiTheme="majorHAnsi" w:cs="Arial"/>
                          <w:sz w:val="18"/>
                          <w:szCs w:val="18"/>
                        </w:rPr>
                        <w:t xml:space="preserve">székhely: </w:t>
                      </w:r>
                      <w:r w:rsidR="00952B62" w:rsidRPr="00952B62">
                        <w:rPr>
                          <w:rFonts w:asciiTheme="majorHAnsi" w:hAnsiTheme="majorHAnsi" w:cs="Arial"/>
                          <w:noProof/>
                          <w:sz w:val="18"/>
                          <w:szCs w:val="18"/>
                        </w:rPr>
                        <w:t>1023 Budapest, Ürömi út 48.</w:t>
                      </w:r>
                    </w:p>
                    <w:p w:rsidR="00D32382" w:rsidRPr="00952B62" w:rsidRDefault="00D32382" w:rsidP="00D32382">
                      <w:pPr>
                        <w:jc w:val="center"/>
                        <w:rPr>
                          <w:rFonts w:asciiTheme="majorHAnsi" w:hAnsiTheme="majorHAnsi" w:cs="Arial"/>
                          <w:sz w:val="18"/>
                          <w:szCs w:val="18"/>
                        </w:rPr>
                      </w:pPr>
                      <w:r w:rsidRPr="00952B62">
                        <w:rPr>
                          <w:rFonts w:asciiTheme="majorHAnsi" w:hAnsiTheme="majorHAnsi" w:cs="Arial"/>
                          <w:sz w:val="18"/>
                          <w:szCs w:val="18"/>
                        </w:rPr>
                        <w:t>levelezés: 5000 Szolnok, Szigligeti út 2.</w:t>
                      </w:r>
                    </w:p>
                    <w:p w:rsidR="00D32382" w:rsidRPr="00952B62" w:rsidRDefault="00D32382" w:rsidP="00D32382">
                      <w:pPr>
                        <w:jc w:val="center"/>
                        <w:rPr>
                          <w:rFonts w:asciiTheme="majorHAnsi" w:hAnsiTheme="majorHAnsi" w:cs="Arial"/>
                          <w:sz w:val="18"/>
                          <w:szCs w:val="18"/>
                        </w:rPr>
                      </w:pPr>
                      <w:r w:rsidRPr="00952B62">
                        <w:rPr>
                          <w:rFonts w:asciiTheme="majorHAnsi" w:hAnsiTheme="majorHAnsi" w:cs="Arial"/>
                          <w:sz w:val="18"/>
                          <w:szCs w:val="18"/>
                        </w:rPr>
                        <w:t xml:space="preserve">Tel.: 36 (56) </w:t>
                      </w:r>
                      <w:r w:rsidR="00952B62" w:rsidRPr="00952B62">
                        <w:rPr>
                          <w:rFonts w:asciiTheme="majorHAnsi" w:hAnsiTheme="majorHAnsi" w:cs="Arial"/>
                          <w:sz w:val="18"/>
                          <w:szCs w:val="18"/>
                        </w:rPr>
                        <w:t>799-190</w:t>
                      </w:r>
                      <w:r w:rsidRPr="00952B62">
                        <w:rPr>
                          <w:rFonts w:asciiTheme="majorHAnsi" w:hAnsiTheme="majorHAnsi" w:cs="Arial"/>
                          <w:sz w:val="18"/>
                          <w:szCs w:val="18"/>
                        </w:rPr>
                        <w:t xml:space="preserve">; Fax: 36 (56) </w:t>
                      </w:r>
                      <w:r w:rsidR="00952B62" w:rsidRPr="00952B62">
                        <w:rPr>
                          <w:rFonts w:asciiTheme="majorHAnsi" w:hAnsiTheme="majorHAnsi" w:cs="Arial"/>
                          <w:sz w:val="18"/>
                          <w:szCs w:val="18"/>
                        </w:rPr>
                        <w:t>79-185</w:t>
                      </w:r>
                    </w:p>
                    <w:p w:rsidR="00D32382" w:rsidRPr="00952B62" w:rsidRDefault="00D32382" w:rsidP="00D32382">
                      <w:pPr>
                        <w:jc w:val="center"/>
                        <w:rPr>
                          <w:rFonts w:asciiTheme="majorHAnsi" w:hAnsiTheme="majorHAnsi" w:cs="Arial"/>
                          <w:i/>
                          <w:iCs/>
                          <w:sz w:val="18"/>
                          <w:szCs w:val="18"/>
                        </w:rPr>
                      </w:pPr>
                      <w:r w:rsidRPr="00952B62">
                        <w:rPr>
                          <w:rFonts w:asciiTheme="majorHAnsi" w:hAnsiTheme="majorHAnsi" w:cs="Arial"/>
                          <w:sz w:val="18"/>
                          <w:szCs w:val="18"/>
                        </w:rPr>
                        <w:t>Web: http://www.axonrt.hu</w:t>
                      </w:r>
                    </w:p>
                  </w:txbxContent>
                </v:textbox>
              </v:shape>
            </w:pict>
          </mc:Fallback>
        </mc:AlternateContent>
      </w:r>
      <w:r w:rsidR="00927D3C">
        <w:rPr>
          <w:noProof/>
        </w:rPr>
        <w:drawing>
          <wp:inline distT="0" distB="0" distL="0" distR="0">
            <wp:extent cx="2044700" cy="664210"/>
            <wp:effectExtent l="1905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44700" cy="664210"/>
                    </a:xfrm>
                    <a:prstGeom prst="rect">
                      <a:avLst/>
                    </a:prstGeom>
                    <a:noFill/>
                    <a:ln w="9525">
                      <a:noFill/>
                      <a:miter lim="800000"/>
                      <a:headEnd/>
                      <a:tailEnd/>
                    </a:ln>
                  </pic:spPr>
                </pic:pic>
              </a:graphicData>
            </a:graphic>
          </wp:inline>
        </w:drawing>
      </w:r>
    </w:p>
    <w:p w:rsidR="00354E75" w:rsidRDefault="00354E75" w:rsidP="00F8495F">
      <w:pPr>
        <w:tabs>
          <w:tab w:val="left" w:pos="8518"/>
        </w:tabs>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000"/>
      </w:tblGrid>
      <w:tr w:rsidR="00903065" w:rsidRPr="00952B62" w:rsidTr="00120522">
        <w:tc>
          <w:tcPr>
            <w:tcW w:w="9000" w:type="dxa"/>
            <w:tcBorders>
              <w:top w:val="single" w:sz="4" w:space="0" w:color="BFBFBF"/>
              <w:bottom w:val="single" w:sz="4" w:space="0" w:color="BFBFBF"/>
            </w:tcBorders>
            <w:shd w:val="clear" w:color="auto" w:fill="993366"/>
          </w:tcPr>
          <w:p w:rsidR="00903065" w:rsidRPr="00952B62" w:rsidRDefault="00903065" w:rsidP="00120522">
            <w:pPr>
              <w:widowControl w:val="0"/>
              <w:autoSpaceDE w:val="0"/>
              <w:autoSpaceDN w:val="0"/>
              <w:adjustRightInd w:val="0"/>
              <w:ind w:right="-5"/>
              <w:jc w:val="center"/>
              <w:rPr>
                <w:rFonts w:asciiTheme="majorHAnsi" w:hAnsiTheme="majorHAnsi" w:cs="TimesNewRomanPSMT"/>
                <w:b/>
                <w:bCs/>
                <w:color w:val="FFFFFF"/>
                <w:sz w:val="32"/>
                <w:szCs w:val="32"/>
              </w:rPr>
            </w:pPr>
            <w:r w:rsidRPr="00952B62">
              <w:rPr>
                <w:rFonts w:asciiTheme="majorHAnsi" w:hAnsiTheme="majorHAnsi" w:cs="TimesNewRomanPSMT"/>
                <w:b/>
                <w:bCs/>
                <w:color w:val="FFFFFF"/>
                <w:sz w:val="32"/>
                <w:szCs w:val="32"/>
              </w:rPr>
              <w:t>Hirdetmény</w:t>
            </w:r>
          </w:p>
        </w:tc>
      </w:tr>
    </w:tbl>
    <w:p w:rsidR="00903065" w:rsidRPr="00952B62" w:rsidRDefault="00735941" w:rsidP="00903065">
      <w:pPr>
        <w:widowControl w:val="0"/>
        <w:autoSpaceDE w:val="0"/>
        <w:autoSpaceDN w:val="0"/>
        <w:adjustRightInd w:val="0"/>
        <w:ind w:right="67"/>
        <w:jc w:val="center"/>
        <w:rPr>
          <w:rFonts w:asciiTheme="majorHAnsi" w:hAnsiTheme="majorHAnsi" w:cs="Verdana"/>
        </w:rPr>
      </w:pPr>
      <w:r w:rsidRPr="00952B62">
        <w:rPr>
          <w:rFonts w:asciiTheme="majorHAnsi" w:hAnsiTheme="majorHAnsi" w:cs="Verdana"/>
        </w:rPr>
        <w:t>Hatályos: 2012.0</w:t>
      </w:r>
      <w:r w:rsidR="00CF587E" w:rsidRPr="00952B62">
        <w:rPr>
          <w:rFonts w:asciiTheme="majorHAnsi" w:hAnsiTheme="majorHAnsi" w:cs="Verdana"/>
        </w:rPr>
        <w:t>8</w:t>
      </w:r>
      <w:r w:rsidR="00903065" w:rsidRPr="00952B62">
        <w:rPr>
          <w:rFonts w:asciiTheme="majorHAnsi" w:hAnsiTheme="majorHAnsi" w:cs="Verdana"/>
        </w:rPr>
        <w:t>.01.</w:t>
      </w:r>
    </w:p>
    <w:tbl>
      <w:tblPr>
        <w:tblW w:w="9072"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50"/>
        <w:gridCol w:w="889"/>
        <w:gridCol w:w="2356"/>
        <w:gridCol w:w="1255"/>
        <w:gridCol w:w="2250"/>
        <w:gridCol w:w="72"/>
      </w:tblGrid>
      <w:tr w:rsidR="00903065" w:rsidRPr="00952B62" w:rsidTr="00735941">
        <w:trPr>
          <w:gridAfter w:val="1"/>
          <w:wAfter w:w="72" w:type="dxa"/>
        </w:trPr>
        <w:tc>
          <w:tcPr>
            <w:tcW w:w="2250" w:type="dxa"/>
            <w:tcBorders>
              <w:top w:val="single" w:sz="4" w:space="0" w:color="BFBFBF"/>
              <w:bottom w:val="single" w:sz="4" w:space="0" w:color="BFBFBF"/>
              <w:right w:val="single" w:sz="4" w:space="0" w:color="BFBFBF"/>
            </w:tcBorders>
            <w:shd w:val="clear" w:color="auto" w:fill="993366"/>
          </w:tcPr>
          <w:p w:rsidR="00903065" w:rsidRPr="00952B62" w:rsidRDefault="00903065" w:rsidP="00120522">
            <w:pPr>
              <w:widowControl w:val="0"/>
              <w:autoSpaceDE w:val="0"/>
              <w:autoSpaceDN w:val="0"/>
              <w:adjustRightInd w:val="0"/>
              <w:ind w:right="67"/>
              <w:rPr>
                <w:rFonts w:asciiTheme="majorHAnsi" w:hAnsiTheme="majorHAnsi" w:cs="TimesNewRomanPSMT"/>
                <w:color w:val="FFFFFF"/>
              </w:rPr>
            </w:pPr>
            <w:r w:rsidRPr="00952B62">
              <w:rPr>
                <w:rFonts w:asciiTheme="majorHAnsi" w:hAnsiTheme="majorHAnsi" w:cs="TimesNewRomanPSMT"/>
                <w:b/>
                <w:bCs/>
                <w:color w:val="FFFFFF"/>
              </w:rPr>
              <w:t>Alapkondíciók</w:t>
            </w:r>
          </w:p>
        </w:tc>
        <w:tc>
          <w:tcPr>
            <w:tcW w:w="3245" w:type="dxa"/>
            <w:gridSpan w:val="2"/>
            <w:tcBorders>
              <w:top w:val="single" w:sz="4" w:space="0" w:color="BFBFBF"/>
              <w:left w:val="single" w:sz="4" w:space="0" w:color="BFBFBF"/>
              <w:bottom w:val="single" w:sz="4" w:space="0" w:color="BFBFBF"/>
              <w:right w:val="single" w:sz="4" w:space="0" w:color="BFBFBF"/>
            </w:tcBorders>
            <w:shd w:val="clear" w:color="auto" w:fill="993366"/>
          </w:tcPr>
          <w:p w:rsidR="00903065" w:rsidRPr="00952B62" w:rsidRDefault="00903065" w:rsidP="00120522">
            <w:pPr>
              <w:widowControl w:val="0"/>
              <w:autoSpaceDE w:val="0"/>
              <w:autoSpaceDN w:val="0"/>
              <w:adjustRightInd w:val="0"/>
              <w:rPr>
                <w:rFonts w:asciiTheme="majorHAnsi" w:hAnsiTheme="majorHAnsi" w:cs="TimesNewRomanPSMT"/>
                <w:color w:val="FFFFFF"/>
              </w:rPr>
            </w:pPr>
          </w:p>
        </w:tc>
        <w:tc>
          <w:tcPr>
            <w:tcW w:w="1255" w:type="dxa"/>
            <w:tcBorders>
              <w:top w:val="single" w:sz="4" w:space="0" w:color="BFBFBF"/>
              <w:left w:val="single" w:sz="4" w:space="0" w:color="BFBFBF"/>
              <w:bottom w:val="single" w:sz="4" w:space="0" w:color="BFBFBF"/>
              <w:right w:val="single" w:sz="4" w:space="0" w:color="BFBFBF"/>
            </w:tcBorders>
            <w:shd w:val="clear" w:color="auto" w:fill="993366"/>
          </w:tcPr>
          <w:p w:rsidR="00903065" w:rsidRPr="00952B62" w:rsidRDefault="00903065" w:rsidP="00120522">
            <w:pPr>
              <w:widowControl w:val="0"/>
              <w:autoSpaceDE w:val="0"/>
              <w:autoSpaceDN w:val="0"/>
              <w:adjustRightInd w:val="0"/>
              <w:rPr>
                <w:rFonts w:asciiTheme="majorHAnsi" w:hAnsiTheme="majorHAnsi" w:cs="TimesNewRomanPSMT"/>
                <w:color w:val="FFFFFF"/>
              </w:rPr>
            </w:pPr>
          </w:p>
        </w:tc>
        <w:tc>
          <w:tcPr>
            <w:tcW w:w="2250" w:type="dxa"/>
            <w:tcBorders>
              <w:top w:val="single" w:sz="4" w:space="0" w:color="BFBFBF"/>
              <w:left w:val="single" w:sz="4" w:space="0" w:color="BFBFBF"/>
              <w:bottom w:val="single" w:sz="4" w:space="0" w:color="BFBFBF"/>
            </w:tcBorders>
            <w:shd w:val="clear" w:color="auto" w:fill="993366"/>
          </w:tcPr>
          <w:p w:rsidR="00903065" w:rsidRPr="00952B62" w:rsidRDefault="00903065" w:rsidP="00120522">
            <w:pPr>
              <w:widowControl w:val="0"/>
              <w:autoSpaceDE w:val="0"/>
              <w:autoSpaceDN w:val="0"/>
              <w:adjustRightInd w:val="0"/>
              <w:rPr>
                <w:rFonts w:asciiTheme="majorHAnsi" w:hAnsiTheme="majorHAnsi" w:cs="TimesNewRomanPSMT"/>
                <w:color w:val="FFFFFF"/>
              </w:rPr>
            </w:pPr>
          </w:p>
        </w:tc>
      </w:tr>
      <w:tr w:rsidR="00903065" w:rsidRPr="00952B62" w:rsidTr="00735941">
        <w:tblPrEx>
          <w:tblBorders>
            <w:top w:val="none" w:sz="0" w:space="0" w:color="auto"/>
          </w:tblBorders>
        </w:tblPrEx>
        <w:trPr>
          <w:gridAfter w:val="1"/>
          <w:wAfter w:w="72" w:type="dxa"/>
        </w:trPr>
        <w:tc>
          <w:tcPr>
            <w:tcW w:w="2250"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Futamidő</w:t>
            </w:r>
          </w:p>
        </w:tc>
        <w:tc>
          <w:tcPr>
            <w:tcW w:w="3245" w:type="dxa"/>
            <w:gridSpan w:val="2"/>
            <w:tcBorders>
              <w:top w:val="single" w:sz="4" w:space="0" w:color="BFBFBF"/>
              <w:left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1 - 20 év</w:t>
            </w:r>
          </w:p>
        </w:tc>
        <w:tc>
          <w:tcPr>
            <w:tcW w:w="1255" w:type="dxa"/>
            <w:tcBorders>
              <w:top w:val="single" w:sz="4" w:space="0" w:color="BFBFBF"/>
              <w:left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rPr>
                <w:rFonts w:asciiTheme="majorHAnsi" w:hAnsiTheme="majorHAnsi" w:cs="TimesNewRomanPSMT"/>
              </w:rPr>
            </w:pPr>
          </w:p>
        </w:tc>
        <w:tc>
          <w:tcPr>
            <w:tcW w:w="2250"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rPr>
                <w:rFonts w:asciiTheme="majorHAnsi" w:hAnsiTheme="majorHAnsi" w:cs="TimesNewRomanPSMT"/>
              </w:rPr>
            </w:pPr>
          </w:p>
        </w:tc>
      </w:tr>
      <w:tr w:rsidR="00903065" w:rsidRPr="00952B62" w:rsidTr="00735941">
        <w:tblPrEx>
          <w:tblBorders>
            <w:top w:val="none" w:sz="0" w:space="0" w:color="auto"/>
          </w:tblBorders>
        </w:tblPrEx>
        <w:trPr>
          <w:gridAfter w:val="1"/>
          <w:wAfter w:w="72" w:type="dxa"/>
        </w:trPr>
        <w:tc>
          <w:tcPr>
            <w:tcW w:w="2250"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Törlesztés</w:t>
            </w:r>
          </w:p>
        </w:tc>
        <w:tc>
          <w:tcPr>
            <w:tcW w:w="3245" w:type="dxa"/>
            <w:gridSpan w:val="2"/>
            <w:tcBorders>
              <w:top w:val="single" w:sz="4" w:space="0" w:color="BFBFBF"/>
              <w:left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 xml:space="preserve">a tőke és kamatfizetés </w:t>
            </w:r>
            <w:r w:rsidRPr="00952B62">
              <w:rPr>
                <w:rFonts w:asciiTheme="majorHAnsi" w:hAnsiTheme="majorHAnsi" w:cs="TimesNewRomanPSMT"/>
                <w:b/>
                <w:bCs/>
                <w:i/>
                <w:iCs/>
              </w:rPr>
              <w:t>havonta</w:t>
            </w:r>
            <w:r w:rsidRPr="00952B62">
              <w:rPr>
                <w:rFonts w:asciiTheme="majorHAnsi" w:hAnsiTheme="majorHAnsi" w:cs="TimesNewRomanPSMT"/>
              </w:rPr>
              <w:t xml:space="preserve">, vagy </w:t>
            </w:r>
            <w:r w:rsidRPr="00952B62">
              <w:rPr>
                <w:rFonts w:asciiTheme="majorHAnsi" w:hAnsiTheme="majorHAnsi" w:cs="TimesNewRomanPSMT"/>
                <w:b/>
                <w:bCs/>
                <w:i/>
                <w:iCs/>
              </w:rPr>
              <w:t>negyedévente</w:t>
            </w:r>
            <w:r w:rsidRPr="00952B62">
              <w:rPr>
                <w:rFonts w:asciiTheme="majorHAnsi" w:hAnsiTheme="majorHAnsi" w:cs="TimesNewRomanPSMT"/>
              </w:rPr>
              <w:t xml:space="preserve">, illetve </w:t>
            </w:r>
            <w:r w:rsidRPr="00952B62">
              <w:rPr>
                <w:rFonts w:asciiTheme="majorHAnsi" w:hAnsiTheme="majorHAnsi" w:cs="TimesNewRomanPSMT"/>
                <w:b/>
                <w:bCs/>
                <w:i/>
                <w:iCs/>
              </w:rPr>
              <w:t>egyedi</w:t>
            </w:r>
            <w:r w:rsidRPr="00952B62">
              <w:rPr>
                <w:rFonts w:asciiTheme="majorHAnsi" w:hAnsiTheme="majorHAnsi" w:cs="TimesNewRomanPSMT"/>
              </w:rPr>
              <w:t xml:space="preserve"> fizetési ütemezéssel, a Kölcsönszerződésben meghatározott kamatfizetési napokon kerül megfizetésre. </w:t>
            </w:r>
          </w:p>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 xml:space="preserve">Lehetősség van, </w:t>
            </w:r>
            <w:r w:rsidRPr="00952B62">
              <w:rPr>
                <w:rFonts w:asciiTheme="majorHAnsi" w:hAnsiTheme="majorHAnsi" w:cs="TimesNewRomanPSMT"/>
                <w:b/>
                <w:bCs/>
                <w:i/>
                <w:iCs/>
              </w:rPr>
              <w:t>maradvány érték</w:t>
            </w:r>
            <w:r w:rsidRPr="00952B62">
              <w:rPr>
                <w:rFonts w:asciiTheme="majorHAnsi" w:hAnsiTheme="majorHAnsi" w:cs="TimesNewRomanPSMT"/>
              </w:rPr>
              <w:t xml:space="preserve"> beépítésére.</w:t>
            </w:r>
          </w:p>
        </w:tc>
        <w:tc>
          <w:tcPr>
            <w:tcW w:w="1255" w:type="dxa"/>
            <w:tcBorders>
              <w:top w:val="single" w:sz="4" w:space="0" w:color="BFBFBF"/>
              <w:left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rPr>
                <w:rFonts w:asciiTheme="majorHAnsi" w:hAnsiTheme="majorHAnsi" w:cs="TimesNewRomanPSMT"/>
              </w:rPr>
            </w:pPr>
          </w:p>
        </w:tc>
        <w:tc>
          <w:tcPr>
            <w:tcW w:w="2250"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rPr>
                <w:rFonts w:asciiTheme="majorHAnsi" w:hAnsiTheme="majorHAnsi" w:cs="TimesNewRomanPSMT"/>
              </w:rPr>
            </w:pPr>
          </w:p>
        </w:tc>
      </w:tr>
      <w:tr w:rsidR="00903065" w:rsidRPr="00952B62" w:rsidTr="00735941">
        <w:tblPrEx>
          <w:tblBorders>
            <w:top w:val="none" w:sz="0" w:space="0" w:color="auto"/>
          </w:tblBorders>
        </w:tblPrEx>
        <w:trPr>
          <w:gridAfter w:val="1"/>
          <w:wAfter w:w="72" w:type="dxa"/>
        </w:trPr>
        <w:tc>
          <w:tcPr>
            <w:tcW w:w="2250" w:type="dxa"/>
            <w:vMerge w:val="restart"/>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Kamatláb</w:t>
            </w:r>
          </w:p>
        </w:tc>
        <w:tc>
          <w:tcPr>
            <w:tcW w:w="3245" w:type="dxa"/>
            <w:gridSpan w:val="2"/>
            <w:vMerge w:val="restart"/>
            <w:tcBorders>
              <w:top w:val="single" w:sz="4" w:space="0" w:color="BFBFBF"/>
              <w:left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forint</w:t>
            </w:r>
          </w:p>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euró</w:t>
            </w:r>
          </w:p>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svájci frank</w:t>
            </w:r>
          </w:p>
        </w:tc>
        <w:tc>
          <w:tcPr>
            <w:tcW w:w="1255" w:type="dxa"/>
            <w:tcBorders>
              <w:top w:val="single" w:sz="4" w:space="0" w:color="BFBFBF"/>
              <w:left w:val="single" w:sz="4" w:space="0" w:color="BFBFBF"/>
              <w:bottom w:val="single" w:sz="4" w:space="0" w:color="BFBFBF"/>
              <w:right w:val="single" w:sz="4" w:space="0" w:color="BFBFBF"/>
            </w:tcBorders>
          </w:tcPr>
          <w:p w:rsidR="00903065" w:rsidRPr="00952B62" w:rsidRDefault="00952B62" w:rsidP="00120522">
            <w:pPr>
              <w:widowControl w:val="0"/>
              <w:autoSpaceDE w:val="0"/>
              <w:autoSpaceDN w:val="0"/>
              <w:adjustRightInd w:val="0"/>
              <w:ind w:right="67"/>
              <w:rPr>
                <w:rFonts w:asciiTheme="majorHAnsi" w:hAnsiTheme="majorHAnsi" w:cs="TimesNewRomanPSMT"/>
              </w:rPr>
            </w:pPr>
            <w:r>
              <w:rPr>
                <w:rFonts w:asciiTheme="majorHAnsi" w:hAnsiTheme="majorHAnsi" w:cs="TimesNewRomanPSMT"/>
              </w:rPr>
              <w:t>3</w:t>
            </w:r>
            <w:r w:rsidR="00903065" w:rsidRPr="00952B62">
              <w:rPr>
                <w:rFonts w:asciiTheme="majorHAnsi" w:hAnsiTheme="majorHAnsi" w:cs="TimesNewRomanPSMT"/>
              </w:rPr>
              <w:t xml:space="preserve"> havi BUBOR</w:t>
            </w:r>
          </w:p>
        </w:tc>
        <w:tc>
          <w:tcPr>
            <w:tcW w:w="2250" w:type="dxa"/>
            <w:vMerge w:val="restart"/>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p>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+ 6-7,5% *</w:t>
            </w:r>
          </w:p>
        </w:tc>
      </w:tr>
      <w:tr w:rsidR="00903065" w:rsidRPr="00952B62" w:rsidTr="00735941">
        <w:tblPrEx>
          <w:tblBorders>
            <w:top w:val="none" w:sz="0" w:space="0" w:color="auto"/>
          </w:tblBorders>
        </w:tblPrEx>
        <w:trPr>
          <w:gridAfter w:val="1"/>
          <w:wAfter w:w="72" w:type="dxa"/>
        </w:trPr>
        <w:tc>
          <w:tcPr>
            <w:tcW w:w="2250" w:type="dxa"/>
            <w:vMerge/>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rPr>
                <w:rFonts w:asciiTheme="majorHAnsi" w:hAnsiTheme="majorHAnsi" w:cs="TimesNewRomanPSMT"/>
              </w:rPr>
            </w:pPr>
          </w:p>
        </w:tc>
        <w:tc>
          <w:tcPr>
            <w:tcW w:w="3245" w:type="dxa"/>
            <w:gridSpan w:val="2"/>
            <w:vMerge/>
            <w:tcBorders>
              <w:top w:val="single" w:sz="4" w:space="0" w:color="BFBFBF"/>
              <w:left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rPr>
                <w:rFonts w:asciiTheme="majorHAnsi" w:hAnsiTheme="majorHAnsi" w:cs="TimesNewRomanPSMT"/>
              </w:rPr>
            </w:pPr>
          </w:p>
        </w:tc>
        <w:tc>
          <w:tcPr>
            <w:tcW w:w="1255" w:type="dxa"/>
            <w:tcBorders>
              <w:top w:val="single" w:sz="4" w:space="0" w:color="BFBFBF"/>
              <w:left w:val="single" w:sz="4" w:space="0" w:color="BFBFBF"/>
              <w:bottom w:val="single" w:sz="4" w:space="0" w:color="BFBFBF"/>
              <w:right w:val="single" w:sz="4" w:space="0" w:color="BFBFBF"/>
            </w:tcBorders>
          </w:tcPr>
          <w:p w:rsidR="00903065" w:rsidRPr="00952B62" w:rsidRDefault="00952B62" w:rsidP="00120522">
            <w:pPr>
              <w:widowControl w:val="0"/>
              <w:autoSpaceDE w:val="0"/>
              <w:autoSpaceDN w:val="0"/>
              <w:adjustRightInd w:val="0"/>
              <w:ind w:right="67"/>
              <w:rPr>
                <w:rFonts w:asciiTheme="majorHAnsi" w:hAnsiTheme="majorHAnsi" w:cs="TimesNewRomanPSMT"/>
              </w:rPr>
            </w:pPr>
            <w:r>
              <w:rPr>
                <w:rFonts w:asciiTheme="majorHAnsi" w:hAnsiTheme="majorHAnsi" w:cs="TimesNewRomanPSMT"/>
              </w:rPr>
              <w:t>3</w:t>
            </w:r>
            <w:r w:rsidR="00903065" w:rsidRPr="00952B62">
              <w:rPr>
                <w:rFonts w:asciiTheme="majorHAnsi" w:hAnsiTheme="majorHAnsi" w:cs="TimesNewRomanPSMT"/>
              </w:rPr>
              <w:t xml:space="preserve"> havi EURIBOR</w:t>
            </w:r>
          </w:p>
        </w:tc>
        <w:tc>
          <w:tcPr>
            <w:tcW w:w="2250" w:type="dxa"/>
            <w:vMerge/>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rPr>
                <w:rFonts w:asciiTheme="majorHAnsi" w:hAnsiTheme="majorHAnsi" w:cs="TimesNewRomanPSMT"/>
              </w:rPr>
            </w:pPr>
          </w:p>
        </w:tc>
      </w:tr>
      <w:tr w:rsidR="00903065" w:rsidRPr="00952B62" w:rsidTr="00735941">
        <w:tblPrEx>
          <w:tblBorders>
            <w:top w:val="none" w:sz="0" w:space="0" w:color="auto"/>
            <w:bottom w:val="single" w:sz="4" w:space="0" w:color="BFBFBF"/>
          </w:tblBorders>
        </w:tblPrEx>
        <w:trPr>
          <w:gridAfter w:val="1"/>
          <w:wAfter w:w="72" w:type="dxa"/>
        </w:trPr>
        <w:tc>
          <w:tcPr>
            <w:tcW w:w="2250" w:type="dxa"/>
            <w:tcBorders>
              <w:top w:val="single" w:sz="8" w:space="0" w:color="BFBFBF"/>
              <w:left w:val="single" w:sz="8" w:space="0" w:color="BFBFBF"/>
              <w:bottom w:val="single" w:sz="8" w:space="0" w:color="BFBFBF"/>
              <w:right w:val="single" w:sz="8" w:space="0" w:color="BFBFBF"/>
            </w:tcBorders>
            <w:vAlign w:val="center"/>
          </w:tcPr>
          <w:p w:rsidR="00903065" w:rsidRPr="00952B62" w:rsidRDefault="00903065" w:rsidP="00120522">
            <w:pPr>
              <w:widowControl w:val="0"/>
              <w:autoSpaceDE w:val="0"/>
              <w:autoSpaceDN w:val="0"/>
              <w:adjustRightInd w:val="0"/>
              <w:ind w:right="67"/>
              <w:rPr>
                <w:rFonts w:asciiTheme="majorHAnsi" w:hAnsiTheme="majorHAnsi" w:cs="TimesNewRomanPSMT"/>
              </w:rPr>
            </w:pPr>
          </w:p>
        </w:tc>
        <w:tc>
          <w:tcPr>
            <w:tcW w:w="3245" w:type="dxa"/>
            <w:gridSpan w:val="2"/>
            <w:tcBorders>
              <w:top w:val="single" w:sz="8" w:space="0" w:color="BFBFBF"/>
              <w:left w:val="single" w:sz="8" w:space="0" w:color="BFBFBF"/>
              <w:bottom w:val="single" w:sz="8" w:space="0" w:color="BFBFBF"/>
              <w:right w:val="single" w:sz="8" w:space="0" w:color="BFBFBF"/>
            </w:tcBorders>
            <w:vAlign w:val="center"/>
          </w:tcPr>
          <w:p w:rsidR="00903065" w:rsidRPr="00952B62" w:rsidRDefault="00903065" w:rsidP="00120522">
            <w:pPr>
              <w:widowControl w:val="0"/>
              <w:autoSpaceDE w:val="0"/>
              <w:autoSpaceDN w:val="0"/>
              <w:adjustRightInd w:val="0"/>
              <w:ind w:right="67"/>
              <w:rPr>
                <w:rFonts w:asciiTheme="majorHAnsi" w:hAnsiTheme="majorHAnsi" w:cs="TimesNewRomanPSMT"/>
              </w:rPr>
            </w:pPr>
          </w:p>
        </w:tc>
        <w:tc>
          <w:tcPr>
            <w:tcW w:w="1255" w:type="dxa"/>
            <w:tcBorders>
              <w:top w:val="single" w:sz="4" w:space="0" w:color="BFBFBF"/>
              <w:left w:val="single" w:sz="4" w:space="0" w:color="BFBFBF"/>
              <w:bottom w:val="single" w:sz="4" w:space="0" w:color="BFBFBF"/>
              <w:right w:val="single" w:sz="4" w:space="0" w:color="BFBFBF"/>
            </w:tcBorders>
          </w:tcPr>
          <w:p w:rsidR="00903065" w:rsidRPr="00952B62" w:rsidRDefault="00952B62" w:rsidP="00120522">
            <w:pPr>
              <w:widowControl w:val="0"/>
              <w:autoSpaceDE w:val="0"/>
              <w:autoSpaceDN w:val="0"/>
              <w:adjustRightInd w:val="0"/>
              <w:ind w:right="67"/>
              <w:rPr>
                <w:rFonts w:asciiTheme="majorHAnsi" w:hAnsiTheme="majorHAnsi" w:cs="TimesNewRomanPSMT"/>
              </w:rPr>
            </w:pPr>
            <w:r>
              <w:rPr>
                <w:rFonts w:asciiTheme="majorHAnsi" w:hAnsiTheme="majorHAnsi" w:cs="TimesNewRomanPSMT"/>
              </w:rPr>
              <w:t>3</w:t>
            </w:r>
            <w:r w:rsidR="00903065" w:rsidRPr="00952B62">
              <w:rPr>
                <w:rFonts w:asciiTheme="majorHAnsi" w:hAnsiTheme="majorHAnsi" w:cs="TimesNewRomanPSMT"/>
              </w:rPr>
              <w:t xml:space="preserve"> havi CHF LIBOR</w:t>
            </w:r>
          </w:p>
        </w:tc>
        <w:tc>
          <w:tcPr>
            <w:tcW w:w="2250" w:type="dxa"/>
            <w:tcBorders>
              <w:top w:val="single" w:sz="8" w:space="0" w:color="BFBFBF"/>
              <w:left w:val="single" w:sz="8" w:space="0" w:color="BFBFBF"/>
              <w:bottom w:val="single" w:sz="8" w:space="0" w:color="BFBFBF"/>
              <w:right w:val="single" w:sz="8" w:space="0" w:color="BFBFBF"/>
            </w:tcBorders>
            <w:vAlign w:val="center"/>
          </w:tcPr>
          <w:p w:rsidR="00903065" w:rsidRPr="00952B62" w:rsidRDefault="00903065" w:rsidP="00120522">
            <w:pPr>
              <w:widowControl w:val="0"/>
              <w:autoSpaceDE w:val="0"/>
              <w:autoSpaceDN w:val="0"/>
              <w:adjustRightInd w:val="0"/>
              <w:ind w:right="67"/>
              <w:rPr>
                <w:rFonts w:asciiTheme="majorHAnsi" w:hAnsiTheme="majorHAnsi" w:cs="TimesNewRomanPSMT"/>
              </w:rPr>
            </w:pPr>
          </w:p>
        </w:tc>
      </w:tr>
      <w:tr w:rsidR="00903065" w:rsidRPr="00952B62" w:rsidTr="00735941">
        <w:tc>
          <w:tcPr>
            <w:tcW w:w="3139" w:type="dxa"/>
            <w:gridSpan w:val="2"/>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Hitelbírálati díj</w:t>
            </w:r>
          </w:p>
        </w:tc>
        <w:tc>
          <w:tcPr>
            <w:tcW w:w="5933" w:type="dxa"/>
            <w:gridSpan w:val="4"/>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nincs</w:t>
            </w:r>
          </w:p>
        </w:tc>
      </w:tr>
      <w:tr w:rsidR="00903065" w:rsidRPr="00952B62" w:rsidTr="00735941">
        <w:tblPrEx>
          <w:tblBorders>
            <w:top w:val="none" w:sz="0" w:space="0" w:color="auto"/>
          </w:tblBorders>
        </w:tblPrEx>
        <w:tc>
          <w:tcPr>
            <w:tcW w:w="3139" w:type="dxa"/>
            <w:gridSpan w:val="2"/>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Folyósítási díj</w:t>
            </w:r>
          </w:p>
        </w:tc>
        <w:tc>
          <w:tcPr>
            <w:tcW w:w="5933" w:type="dxa"/>
            <w:gridSpan w:val="4"/>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nincs</w:t>
            </w:r>
          </w:p>
        </w:tc>
      </w:tr>
      <w:tr w:rsidR="00903065" w:rsidRPr="00952B62" w:rsidTr="00735941">
        <w:tblPrEx>
          <w:tblBorders>
            <w:top w:val="none" w:sz="0" w:space="0" w:color="auto"/>
          </w:tblBorders>
        </w:tblPrEx>
        <w:tc>
          <w:tcPr>
            <w:tcW w:w="3139" w:type="dxa"/>
            <w:gridSpan w:val="2"/>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Ügyintézési díj</w:t>
            </w:r>
          </w:p>
        </w:tc>
        <w:tc>
          <w:tcPr>
            <w:tcW w:w="5933" w:type="dxa"/>
            <w:gridSpan w:val="4"/>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nincs</w:t>
            </w:r>
          </w:p>
        </w:tc>
      </w:tr>
      <w:tr w:rsidR="00903065" w:rsidRPr="00952B62" w:rsidTr="00735941">
        <w:tblPrEx>
          <w:tblBorders>
            <w:top w:val="none" w:sz="0" w:space="0" w:color="auto"/>
          </w:tblBorders>
        </w:tblPrEx>
        <w:tc>
          <w:tcPr>
            <w:tcW w:w="3139" w:type="dxa"/>
            <w:gridSpan w:val="2"/>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Ügyvédi munkadíj</w:t>
            </w:r>
          </w:p>
        </w:tc>
        <w:tc>
          <w:tcPr>
            <w:tcW w:w="5933" w:type="dxa"/>
            <w:gridSpan w:val="4"/>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nincs</w:t>
            </w:r>
          </w:p>
        </w:tc>
      </w:tr>
      <w:tr w:rsidR="00903065" w:rsidRPr="00952B62" w:rsidTr="00735941">
        <w:tblPrEx>
          <w:tblBorders>
            <w:top w:val="none" w:sz="0" w:space="0" w:color="auto"/>
          </w:tblBorders>
        </w:tblPrEx>
        <w:tc>
          <w:tcPr>
            <w:tcW w:w="3139" w:type="dxa"/>
            <w:gridSpan w:val="2"/>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Kezelési költség</w:t>
            </w:r>
          </w:p>
        </w:tc>
        <w:tc>
          <w:tcPr>
            <w:tcW w:w="5933" w:type="dxa"/>
            <w:gridSpan w:val="4"/>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nincs</w:t>
            </w:r>
          </w:p>
        </w:tc>
      </w:tr>
      <w:tr w:rsidR="00903065" w:rsidRPr="00952B62" w:rsidTr="00735941">
        <w:tblPrEx>
          <w:tblBorders>
            <w:top w:val="none" w:sz="0" w:space="0" w:color="auto"/>
            <w:bottom w:val="single" w:sz="4" w:space="0" w:color="BFBFBF"/>
          </w:tblBorders>
        </w:tblPrEx>
        <w:tc>
          <w:tcPr>
            <w:tcW w:w="3139" w:type="dxa"/>
            <w:gridSpan w:val="2"/>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Szerződéskötési díj</w:t>
            </w:r>
          </w:p>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 Jövedelem igazolás esetén</w:t>
            </w:r>
          </w:p>
        </w:tc>
        <w:tc>
          <w:tcPr>
            <w:tcW w:w="5933" w:type="dxa"/>
            <w:gridSpan w:val="4"/>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max.: 3%</w:t>
            </w:r>
          </w:p>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2%</w:t>
            </w:r>
          </w:p>
        </w:tc>
      </w:tr>
    </w:tbl>
    <w:p w:rsidR="00903065" w:rsidRPr="00952B62" w:rsidRDefault="00903065" w:rsidP="00903065">
      <w:pPr>
        <w:widowControl w:val="0"/>
        <w:autoSpaceDE w:val="0"/>
        <w:autoSpaceDN w:val="0"/>
        <w:adjustRightInd w:val="0"/>
        <w:ind w:right="67"/>
        <w:rPr>
          <w:rFonts w:asciiTheme="majorHAnsi" w:hAnsiTheme="majorHAnsi" w:cs="TimesNewRomanPSMT"/>
        </w:rPr>
      </w:pPr>
    </w:p>
    <w:tbl>
      <w:tblPr>
        <w:tblW w:w="9072"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536"/>
        <w:gridCol w:w="4536"/>
      </w:tblGrid>
      <w:tr w:rsidR="00903065" w:rsidRPr="00952B62" w:rsidTr="00735941">
        <w:tc>
          <w:tcPr>
            <w:tcW w:w="4536" w:type="dxa"/>
            <w:tcBorders>
              <w:top w:val="single" w:sz="4" w:space="0" w:color="BFBFBF"/>
              <w:bottom w:val="single" w:sz="4" w:space="0" w:color="BFBFBF"/>
              <w:right w:val="single" w:sz="4" w:space="0" w:color="BFBFBF"/>
            </w:tcBorders>
            <w:shd w:val="clear" w:color="auto" w:fill="993366"/>
          </w:tcPr>
          <w:p w:rsidR="00903065" w:rsidRPr="00952B62" w:rsidRDefault="00903065" w:rsidP="00120522">
            <w:pPr>
              <w:widowControl w:val="0"/>
              <w:autoSpaceDE w:val="0"/>
              <w:autoSpaceDN w:val="0"/>
              <w:adjustRightInd w:val="0"/>
              <w:ind w:right="67"/>
              <w:rPr>
                <w:rFonts w:asciiTheme="majorHAnsi" w:hAnsiTheme="majorHAnsi" w:cs="TimesNewRomanPSMT"/>
                <w:b/>
                <w:bCs/>
                <w:color w:val="FFFFFF"/>
              </w:rPr>
            </w:pPr>
            <w:r w:rsidRPr="00952B62">
              <w:rPr>
                <w:rFonts w:asciiTheme="majorHAnsi" w:hAnsiTheme="majorHAnsi" w:cs="TimesNewRomanPSMT"/>
                <w:b/>
                <w:bCs/>
                <w:color w:val="FFFFFF"/>
              </w:rPr>
              <w:t>Kiegészítő költségek, díjak</w:t>
            </w:r>
          </w:p>
        </w:tc>
        <w:tc>
          <w:tcPr>
            <w:tcW w:w="4536" w:type="dxa"/>
            <w:tcBorders>
              <w:top w:val="single" w:sz="4" w:space="0" w:color="BFBFBF"/>
              <w:left w:val="single" w:sz="4" w:space="0" w:color="BFBFBF"/>
              <w:bottom w:val="single" w:sz="4" w:space="0" w:color="BFBFBF"/>
            </w:tcBorders>
            <w:shd w:val="clear" w:color="auto" w:fill="993366"/>
          </w:tcPr>
          <w:p w:rsidR="00903065" w:rsidRPr="00952B62" w:rsidRDefault="00903065" w:rsidP="00120522">
            <w:pPr>
              <w:widowControl w:val="0"/>
              <w:autoSpaceDE w:val="0"/>
              <w:autoSpaceDN w:val="0"/>
              <w:adjustRightInd w:val="0"/>
              <w:rPr>
                <w:rFonts w:asciiTheme="majorHAnsi" w:hAnsiTheme="majorHAnsi" w:cs="TimesNewRomanPSMT"/>
                <w:b/>
                <w:bCs/>
                <w:color w:val="FFFFFF"/>
              </w:rPr>
            </w:pP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Értékbecslési díj</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 xml:space="preserve">az értékbecslőnek fizetendő, az értékbecslő díjszabása szerint  </w:t>
            </w: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Közjegyzői okirat díja</w:t>
            </w:r>
          </w:p>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 xml:space="preserve"> </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 xml:space="preserve">törvényben szabályozott díjszabás szerint, a közjegyzőnek fizetendő egyszeri díj </w:t>
            </w: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KHR/OPTEN lekérdezés díj</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nincs</w:t>
            </w:r>
          </w:p>
        </w:tc>
      </w:tr>
      <w:tr w:rsidR="00903065" w:rsidRPr="00952B62" w:rsidTr="00735941">
        <w:tblPrEx>
          <w:tblBorders>
            <w:top w:val="none" w:sz="0" w:space="0" w:color="auto"/>
            <w:bottom w:val="single" w:sz="4" w:space="0" w:color="BFBFBF"/>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Földhivatali eljárás díja</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nincs (a költségét a szerződéskötési díj tartalmazza)</w:t>
            </w:r>
          </w:p>
        </w:tc>
      </w:tr>
      <w:tr w:rsidR="00903065" w:rsidRPr="00952B62" w:rsidTr="00735941">
        <w:tc>
          <w:tcPr>
            <w:tcW w:w="4536" w:type="dxa"/>
            <w:tcBorders>
              <w:top w:val="single" w:sz="4" w:space="0" w:color="BFBFBF"/>
              <w:bottom w:val="single" w:sz="4" w:space="0" w:color="BFBFBF"/>
              <w:right w:val="single" w:sz="4" w:space="0" w:color="BFBFBF"/>
            </w:tcBorders>
            <w:shd w:val="clear" w:color="auto" w:fill="993366"/>
          </w:tcPr>
          <w:p w:rsidR="00903065" w:rsidRPr="00952B62" w:rsidRDefault="00903065" w:rsidP="00120522">
            <w:pPr>
              <w:widowControl w:val="0"/>
              <w:autoSpaceDE w:val="0"/>
              <w:autoSpaceDN w:val="0"/>
              <w:adjustRightInd w:val="0"/>
              <w:ind w:right="67"/>
              <w:rPr>
                <w:rFonts w:asciiTheme="majorHAnsi" w:hAnsiTheme="majorHAnsi" w:cs="TimesNewRomanPSMT"/>
                <w:b/>
                <w:bCs/>
                <w:color w:val="FFFFFF"/>
              </w:rPr>
            </w:pPr>
            <w:r w:rsidRPr="00952B62">
              <w:rPr>
                <w:rFonts w:asciiTheme="majorHAnsi" w:hAnsiTheme="majorHAnsi" w:cs="TimesNewRomanPSMT"/>
                <w:b/>
                <w:bCs/>
                <w:color w:val="FFFFFF"/>
              </w:rPr>
              <w:t>Szerződésmódosítási díjak</w:t>
            </w:r>
          </w:p>
        </w:tc>
        <w:tc>
          <w:tcPr>
            <w:tcW w:w="4536" w:type="dxa"/>
            <w:tcBorders>
              <w:top w:val="single" w:sz="4" w:space="0" w:color="BFBFBF"/>
              <w:left w:val="single" w:sz="4" w:space="0" w:color="BFBFBF"/>
              <w:bottom w:val="single" w:sz="4" w:space="0" w:color="BFBFBF"/>
            </w:tcBorders>
            <w:shd w:val="clear" w:color="auto" w:fill="993366"/>
          </w:tcPr>
          <w:p w:rsidR="00903065" w:rsidRPr="00952B62" w:rsidRDefault="00903065" w:rsidP="00120522">
            <w:pPr>
              <w:widowControl w:val="0"/>
              <w:autoSpaceDE w:val="0"/>
              <w:autoSpaceDN w:val="0"/>
              <w:adjustRightInd w:val="0"/>
              <w:rPr>
                <w:rFonts w:asciiTheme="majorHAnsi" w:hAnsiTheme="majorHAnsi" w:cs="TimesNewRomanPSMT"/>
                <w:b/>
                <w:bCs/>
                <w:color w:val="FFFFFF"/>
              </w:rPr>
            </w:pP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Ügylet lezárási díj</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az előtörlesztett tőkeösszeg 5%-a</w:t>
            </w: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Egyéb szerződésmódosítási díj</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az aktuális tőkeösszeg 5%-a</w:t>
            </w:r>
          </w:p>
        </w:tc>
      </w:tr>
      <w:tr w:rsidR="00903065" w:rsidRPr="00952B62" w:rsidTr="00735941">
        <w:tblPrEx>
          <w:tblBorders>
            <w:top w:val="none" w:sz="0" w:space="0" w:color="auto"/>
            <w:bottom w:val="single" w:sz="4" w:space="0" w:color="BFBFBF"/>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Egyéb igazolások díja</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2.000.- Ft/db</w:t>
            </w:r>
          </w:p>
        </w:tc>
      </w:tr>
      <w:tr w:rsidR="00903065" w:rsidRPr="00952B62" w:rsidTr="00735941">
        <w:tc>
          <w:tcPr>
            <w:tcW w:w="4536" w:type="dxa"/>
            <w:tcBorders>
              <w:top w:val="single" w:sz="4" w:space="0" w:color="BFBFBF"/>
              <w:bottom w:val="single" w:sz="4" w:space="0" w:color="BFBFBF"/>
              <w:right w:val="single" w:sz="4" w:space="0" w:color="BFBFBF"/>
            </w:tcBorders>
            <w:shd w:val="clear" w:color="auto" w:fill="993366"/>
          </w:tcPr>
          <w:p w:rsidR="00903065" w:rsidRPr="00952B62" w:rsidRDefault="00903065" w:rsidP="00120522">
            <w:pPr>
              <w:widowControl w:val="0"/>
              <w:autoSpaceDE w:val="0"/>
              <w:autoSpaceDN w:val="0"/>
              <w:adjustRightInd w:val="0"/>
              <w:ind w:right="67"/>
              <w:rPr>
                <w:rFonts w:asciiTheme="majorHAnsi" w:hAnsiTheme="majorHAnsi" w:cs="TimesNewRomanPSMT"/>
                <w:b/>
                <w:bCs/>
                <w:color w:val="FFFFFF"/>
              </w:rPr>
            </w:pPr>
            <w:r w:rsidRPr="00952B62">
              <w:rPr>
                <w:rFonts w:asciiTheme="majorHAnsi" w:hAnsiTheme="majorHAnsi" w:cs="TimesNewRomanPSMT"/>
                <w:b/>
                <w:bCs/>
                <w:color w:val="FFFFFF"/>
              </w:rPr>
              <w:t>Pénzügyi lízing ügyletekhez kapcsolódóan felszámítható egyéb díjak</w:t>
            </w:r>
          </w:p>
        </w:tc>
        <w:tc>
          <w:tcPr>
            <w:tcW w:w="4536" w:type="dxa"/>
            <w:tcBorders>
              <w:top w:val="single" w:sz="4" w:space="0" w:color="BFBFBF"/>
              <w:left w:val="single" w:sz="4" w:space="0" w:color="BFBFBF"/>
              <w:bottom w:val="single" w:sz="4" w:space="0" w:color="BFBFBF"/>
            </w:tcBorders>
            <w:shd w:val="clear" w:color="auto" w:fill="993366"/>
          </w:tcPr>
          <w:p w:rsidR="00903065" w:rsidRPr="00952B62" w:rsidRDefault="00903065" w:rsidP="00120522">
            <w:pPr>
              <w:widowControl w:val="0"/>
              <w:autoSpaceDE w:val="0"/>
              <w:autoSpaceDN w:val="0"/>
              <w:adjustRightInd w:val="0"/>
              <w:rPr>
                <w:rFonts w:asciiTheme="majorHAnsi" w:hAnsiTheme="majorHAnsi" w:cs="TimesNewRomanPSMT"/>
                <w:b/>
                <w:bCs/>
                <w:color w:val="FFFFFF"/>
              </w:rPr>
            </w:pP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Késedelmi kamatláb</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a mindenkori jegybanki alapkamat kétszerese</w:t>
            </w: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Fizetési felszólítás díja</w:t>
            </w:r>
          </w:p>
        </w:tc>
        <w:tc>
          <w:tcPr>
            <w:tcW w:w="4536" w:type="dxa"/>
            <w:tcBorders>
              <w:top w:val="single" w:sz="4" w:space="0" w:color="BFBFBF"/>
              <w:left w:val="single" w:sz="4" w:space="0" w:color="BFBFBF"/>
              <w:bottom w:val="single" w:sz="4" w:space="0" w:color="BFBFBF"/>
            </w:tcBorders>
          </w:tcPr>
          <w:p w:rsidR="00903065" w:rsidRPr="00952B62" w:rsidRDefault="00705B3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2</w:t>
            </w:r>
            <w:r w:rsidR="00903065" w:rsidRPr="00952B62">
              <w:rPr>
                <w:rFonts w:asciiTheme="majorHAnsi" w:hAnsiTheme="majorHAnsi" w:cs="TimesNewRomanPSMT"/>
              </w:rPr>
              <w:t>.000,- Ft/db</w:t>
            </w: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Felmondás előtti utolsó fizetési felszólítás díja</w:t>
            </w:r>
          </w:p>
        </w:tc>
        <w:tc>
          <w:tcPr>
            <w:tcW w:w="4536" w:type="dxa"/>
            <w:tcBorders>
              <w:top w:val="single" w:sz="4" w:space="0" w:color="BFBFBF"/>
              <w:left w:val="single" w:sz="4" w:space="0" w:color="BFBFBF"/>
              <w:bottom w:val="single" w:sz="4" w:space="0" w:color="BFBFBF"/>
            </w:tcBorders>
            <w:vAlign w:val="bottom"/>
          </w:tcPr>
          <w:p w:rsidR="00903065" w:rsidRPr="00952B62" w:rsidRDefault="00705B3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5</w:t>
            </w:r>
            <w:r w:rsidR="00903065" w:rsidRPr="00952B62">
              <w:rPr>
                <w:rFonts w:asciiTheme="majorHAnsi" w:hAnsiTheme="majorHAnsi" w:cs="TimesNewRomanPSMT"/>
              </w:rPr>
              <w:t>.000,- Ft/db</w:t>
            </w: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Szerződés felmondásának díja</w:t>
            </w:r>
          </w:p>
        </w:tc>
        <w:tc>
          <w:tcPr>
            <w:tcW w:w="4536" w:type="dxa"/>
            <w:tcBorders>
              <w:top w:val="single" w:sz="4" w:space="0" w:color="BFBFBF"/>
              <w:left w:val="single" w:sz="4" w:space="0" w:color="BFBFBF"/>
              <w:bottom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8.000,- Ft/szerződés</w:t>
            </w:r>
          </w:p>
        </w:tc>
      </w:tr>
      <w:tr w:rsidR="00903065" w:rsidRPr="00952B62" w:rsidTr="00735941">
        <w:tblPrEx>
          <w:tblBorders>
            <w:top w:val="none" w:sz="0" w:space="0" w:color="auto"/>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Forgalomból történő kivonatás esetenkénti ügyviteli díja</w:t>
            </w:r>
          </w:p>
        </w:tc>
        <w:tc>
          <w:tcPr>
            <w:tcW w:w="4536" w:type="dxa"/>
            <w:tcBorders>
              <w:top w:val="single" w:sz="4" w:space="0" w:color="BFBFBF"/>
              <w:left w:val="single" w:sz="4" w:space="0" w:color="BFBFBF"/>
              <w:bottom w:val="single" w:sz="4" w:space="0" w:color="BFBFBF"/>
            </w:tcBorders>
            <w:vAlign w:val="bottom"/>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25.000,- Ft/db</w:t>
            </w:r>
          </w:p>
        </w:tc>
      </w:tr>
      <w:tr w:rsidR="00903065" w:rsidRPr="00952B62" w:rsidTr="00735941">
        <w:tblPrEx>
          <w:tblBorders>
            <w:top w:val="none" w:sz="0" w:space="0" w:color="auto"/>
            <w:bottom w:val="single" w:sz="4" w:space="0" w:color="BFBFBF"/>
          </w:tblBorders>
        </w:tblPrEx>
        <w:tc>
          <w:tcPr>
            <w:tcW w:w="4536" w:type="dxa"/>
            <w:tcBorders>
              <w:top w:val="single" w:sz="4" w:space="0" w:color="BFBFBF"/>
              <w:bottom w:val="single" w:sz="4" w:space="0" w:color="BFBFBF"/>
              <w:right w:val="single" w:sz="4" w:space="0" w:color="BFBFBF"/>
            </w:tcBorders>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Rendszám vagy forgalmi engedély esetenkénti ügyviteli díja</w:t>
            </w:r>
          </w:p>
        </w:tc>
        <w:tc>
          <w:tcPr>
            <w:tcW w:w="4536" w:type="dxa"/>
            <w:tcBorders>
              <w:top w:val="single" w:sz="4" w:space="0" w:color="BFBFBF"/>
              <w:left w:val="single" w:sz="4" w:space="0" w:color="BFBFBF"/>
              <w:bottom w:val="single" w:sz="4" w:space="0" w:color="BFBFBF"/>
            </w:tcBorders>
            <w:vAlign w:val="bottom"/>
          </w:tcPr>
          <w:p w:rsidR="00903065" w:rsidRPr="00952B62" w:rsidRDefault="00903065" w:rsidP="00120522">
            <w:pPr>
              <w:widowControl w:val="0"/>
              <w:autoSpaceDE w:val="0"/>
              <w:autoSpaceDN w:val="0"/>
              <w:adjustRightInd w:val="0"/>
              <w:ind w:right="67"/>
              <w:rPr>
                <w:rFonts w:asciiTheme="majorHAnsi" w:hAnsiTheme="majorHAnsi" w:cs="TimesNewRomanPSMT"/>
              </w:rPr>
            </w:pPr>
            <w:r w:rsidRPr="00952B62">
              <w:rPr>
                <w:rFonts w:asciiTheme="majorHAnsi" w:hAnsiTheme="majorHAnsi" w:cs="TimesNewRomanPSMT"/>
              </w:rPr>
              <w:t>25.000,- Ft/db</w:t>
            </w:r>
          </w:p>
        </w:tc>
      </w:tr>
    </w:tbl>
    <w:p w:rsidR="00903065" w:rsidRPr="00952B62" w:rsidRDefault="00903065" w:rsidP="00903065">
      <w:pPr>
        <w:widowControl w:val="0"/>
        <w:autoSpaceDE w:val="0"/>
        <w:autoSpaceDN w:val="0"/>
        <w:adjustRightInd w:val="0"/>
        <w:ind w:left="540" w:right="658"/>
        <w:rPr>
          <w:rFonts w:asciiTheme="majorHAnsi" w:hAnsiTheme="majorHAnsi" w:cs="TimesNewRomanPSMT"/>
          <w:color w:val="800000"/>
          <w:sz w:val="17"/>
          <w:szCs w:val="17"/>
        </w:rPr>
      </w:pPr>
    </w:p>
    <w:p w:rsidR="00903065" w:rsidRDefault="00903065" w:rsidP="00903065">
      <w:pPr>
        <w:widowControl w:val="0"/>
        <w:autoSpaceDE w:val="0"/>
        <w:autoSpaceDN w:val="0"/>
        <w:adjustRightInd w:val="0"/>
        <w:ind w:left="540" w:right="658"/>
        <w:jc w:val="both"/>
        <w:rPr>
          <w:rFonts w:asciiTheme="majorHAnsi" w:hAnsiTheme="majorHAnsi" w:cs="TimesNewRomanPSMT"/>
          <w:color w:val="800000"/>
          <w:sz w:val="17"/>
          <w:szCs w:val="17"/>
        </w:rPr>
      </w:pPr>
      <w:r w:rsidRPr="00952B62">
        <w:rPr>
          <w:rFonts w:asciiTheme="majorHAnsi" w:hAnsiTheme="majorHAnsi" w:cs="TimesNewRomanPSMT"/>
          <w:color w:val="800000"/>
          <w:sz w:val="17"/>
          <w:szCs w:val="17"/>
        </w:rPr>
        <w:t xml:space="preserve">*A kamatfelár mértéke függ a hitelügylet kockázati megítélésétől és a finanszírozás futamidejétől. Meglévő hitelügylet futamidejének megváltoztatásával egyidejűleg a kamatláb mértéke is változhat. </w:t>
      </w:r>
    </w:p>
    <w:p w:rsidR="00952B62" w:rsidRPr="00952B62" w:rsidRDefault="00952B62" w:rsidP="00903065">
      <w:pPr>
        <w:widowControl w:val="0"/>
        <w:autoSpaceDE w:val="0"/>
        <w:autoSpaceDN w:val="0"/>
        <w:adjustRightInd w:val="0"/>
        <w:ind w:left="540" w:right="658"/>
        <w:jc w:val="both"/>
        <w:rPr>
          <w:rFonts w:asciiTheme="majorHAnsi" w:hAnsiTheme="majorHAnsi" w:cs="TimesNewRomanPSMT"/>
          <w:color w:val="800000"/>
          <w:sz w:val="17"/>
          <w:szCs w:val="17"/>
        </w:rPr>
      </w:pPr>
    </w:p>
    <w:p w:rsidR="00903065" w:rsidRPr="00952B62" w:rsidRDefault="00903065" w:rsidP="00BA2848">
      <w:pPr>
        <w:widowControl w:val="0"/>
        <w:autoSpaceDE w:val="0"/>
        <w:autoSpaceDN w:val="0"/>
        <w:adjustRightInd w:val="0"/>
        <w:ind w:right="-5"/>
        <w:rPr>
          <w:rFonts w:asciiTheme="majorHAnsi" w:hAnsiTheme="majorHAnsi" w:cs="TimesNewRomanPSMT"/>
          <w:b/>
          <w:bCs/>
          <w:iCs/>
          <w:sz w:val="18"/>
          <w:szCs w:val="18"/>
        </w:rPr>
      </w:pPr>
      <w:r w:rsidRPr="00952B62">
        <w:rPr>
          <w:rFonts w:asciiTheme="majorHAnsi" w:hAnsiTheme="majorHAnsi" w:cs="TimesNewRomanPSMT"/>
          <w:b/>
          <w:bCs/>
          <w:iCs/>
          <w:sz w:val="18"/>
          <w:szCs w:val="18"/>
        </w:rPr>
        <w:lastRenderedPageBreak/>
        <w:t>I.</w:t>
      </w:r>
      <w:r w:rsidRPr="00952B62">
        <w:rPr>
          <w:rFonts w:asciiTheme="majorHAnsi" w:hAnsiTheme="majorHAnsi" w:cs="TimesNewRomanPSMT"/>
          <w:b/>
          <w:bCs/>
          <w:iCs/>
          <w:sz w:val="18"/>
          <w:szCs w:val="18"/>
        </w:rPr>
        <w:tab/>
      </w:r>
      <w:r w:rsidR="004D5AE3" w:rsidRPr="00952B62">
        <w:rPr>
          <w:rFonts w:asciiTheme="majorHAnsi" w:hAnsiTheme="majorHAnsi" w:cs="TimesNewRomanPSMT"/>
          <w:b/>
          <w:bCs/>
          <w:iCs/>
          <w:sz w:val="18"/>
          <w:szCs w:val="18"/>
        </w:rPr>
        <w:t>HIRDETMÉNY</w:t>
      </w:r>
      <w:r w:rsidRPr="00952B62">
        <w:rPr>
          <w:rFonts w:asciiTheme="majorHAnsi" w:hAnsiTheme="majorHAnsi" w:cs="TimesNewRomanPSMT"/>
          <w:b/>
          <w:bCs/>
          <w:iCs/>
          <w:sz w:val="18"/>
          <w:szCs w:val="18"/>
        </w:rPr>
        <w:t>H</w:t>
      </w:r>
      <w:r w:rsidR="004D5AE3" w:rsidRPr="00952B62">
        <w:rPr>
          <w:rFonts w:asciiTheme="majorHAnsi" w:hAnsiTheme="majorHAnsi" w:cs="TimesNewRomanPSMT"/>
          <w:b/>
          <w:bCs/>
          <w:iCs/>
          <w:sz w:val="18"/>
          <w:szCs w:val="18"/>
        </w:rPr>
        <w:t>E</w:t>
      </w:r>
      <w:r w:rsidRPr="00952B62">
        <w:rPr>
          <w:rFonts w:asciiTheme="majorHAnsi" w:hAnsiTheme="majorHAnsi" w:cs="TimesNewRomanPSMT"/>
          <w:b/>
          <w:bCs/>
          <w:iCs/>
          <w:sz w:val="18"/>
          <w:szCs w:val="18"/>
        </w:rPr>
        <w:t>Z KAPCSOLÓDÓ FELTÉTELEK ÉS RENDELKEZÉSEK</w:t>
      </w:r>
    </w:p>
    <w:p w:rsidR="00903065" w:rsidRPr="00952B62" w:rsidRDefault="00903065" w:rsidP="00BA2848">
      <w:pPr>
        <w:widowControl w:val="0"/>
        <w:autoSpaceDE w:val="0"/>
        <w:autoSpaceDN w:val="0"/>
        <w:adjustRightInd w:val="0"/>
        <w:ind w:right="-5"/>
        <w:rPr>
          <w:rFonts w:asciiTheme="majorHAnsi" w:hAnsiTheme="majorHAnsi" w:cs="TimesNewRomanPSMT"/>
          <w:sz w:val="18"/>
          <w:szCs w:val="18"/>
        </w:rPr>
      </w:pPr>
    </w:p>
    <w:p w:rsidR="00903065" w:rsidRPr="00952B62" w:rsidRDefault="00903065" w:rsidP="00BA2848">
      <w:pPr>
        <w:widowControl w:val="0"/>
        <w:autoSpaceDE w:val="0"/>
        <w:autoSpaceDN w:val="0"/>
        <w:adjustRightInd w:val="0"/>
        <w:ind w:right="-5"/>
        <w:rPr>
          <w:rFonts w:asciiTheme="majorHAnsi" w:hAnsiTheme="majorHAnsi" w:cs="TimesNewRomanPSMT"/>
          <w:sz w:val="18"/>
          <w:szCs w:val="18"/>
        </w:rPr>
      </w:pP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iCs/>
          <w:sz w:val="18"/>
          <w:szCs w:val="18"/>
        </w:rPr>
      </w:pPr>
      <w:r w:rsidRPr="00952B62">
        <w:rPr>
          <w:rFonts w:asciiTheme="majorHAnsi" w:hAnsiTheme="majorHAnsi" w:cs="TimesNewRomanPSMT"/>
          <w:sz w:val="18"/>
          <w:szCs w:val="18"/>
        </w:rPr>
        <w:t>1.</w:t>
      </w:r>
      <w:r w:rsidRPr="00952B62">
        <w:rPr>
          <w:rFonts w:asciiTheme="majorHAnsi" w:hAnsiTheme="majorHAnsi" w:cs="TimesNewRomanPSMT"/>
          <w:bCs/>
          <w:sz w:val="18"/>
          <w:szCs w:val="18"/>
        </w:rPr>
        <w:tab/>
      </w:r>
      <w:r w:rsidRPr="00952B62">
        <w:rPr>
          <w:rFonts w:asciiTheme="majorHAnsi" w:hAnsiTheme="majorHAnsi" w:cs="TimesNewRomanPSMT"/>
          <w:bCs/>
          <w:iCs/>
          <w:sz w:val="18"/>
          <w:szCs w:val="18"/>
        </w:rPr>
        <w:t>Az AXON Pénzügyi és Lízing Zártkörűen Működő Részvénytársaság elérhetőségei</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b/>
          <w:bCs/>
          <w:sz w:val="18"/>
          <w:szCs w:val="18"/>
        </w:rPr>
      </w:pPr>
    </w:p>
    <w:p w:rsidR="00903065" w:rsidRPr="00952B62" w:rsidRDefault="00927D3C" w:rsidP="00BA2848">
      <w:pPr>
        <w:widowControl w:val="0"/>
        <w:tabs>
          <w:tab w:val="left" w:pos="284"/>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iCs/>
          <w:sz w:val="18"/>
          <w:szCs w:val="18"/>
        </w:rPr>
        <w:tab/>
      </w:r>
      <w:r w:rsidR="00903065" w:rsidRPr="00952B62">
        <w:rPr>
          <w:rFonts w:asciiTheme="majorHAnsi" w:hAnsiTheme="majorHAnsi" w:cs="TimesNewRomanPSMT"/>
          <w:iCs/>
          <w:sz w:val="18"/>
          <w:szCs w:val="18"/>
        </w:rPr>
        <w:t>(A)</w:t>
      </w:r>
      <w:r w:rsidR="00903065" w:rsidRPr="00952B62">
        <w:rPr>
          <w:rFonts w:asciiTheme="majorHAnsi" w:hAnsiTheme="majorHAnsi" w:cs="TimesNewRomanPSMT"/>
          <w:iCs/>
          <w:sz w:val="18"/>
          <w:szCs w:val="18"/>
        </w:rPr>
        <w:tab/>
        <w:t>Az AXON Pénzügyi és Lízing Zártkörűen Működ</w:t>
      </w:r>
      <w:r w:rsidR="004D5AE3" w:rsidRPr="00952B62">
        <w:rPr>
          <w:rFonts w:asciiTheme="majorHAnsi" w:hAnsiTheme="majorHAnsi" w:cs="TimesNewRomanPSMT"/>
          <w:iCs/>
          <w:sz w:val="18"/>
          <w:szCs w:val="18"/>
        </w:rPr>
        <w:t xml:space="preserve">ő Részvénytársaság székhelye: </w:t>
      </w:r>
      <w:r w:rsidR="00952B62">
        <w:rPr>
          <w:rFonts w:asciiTheme="majorHAnsi" w:hAnsiTheme="majorHAnsi" w:cs="TimesNewRomanPSMT"/>
          <w:sz w:val="18"/>
          <w:szCs w:val="18"/>
        </w:rPr>
        <w:t>1023 Budapest, Ürömi út 48.</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iCs/>
          <w:sz w:val="18"/>
          <w:szCs w:val="18"/>
        </w:rPr>
        <w:tab/>
        <w:t>(B)</w:t>
      </w:r>
      <w:r w:rsidRPr="00952B62">
        <w:rPr>
          <w:rFonts w:asciiTheme="majorHAnsi" w:hAnsiTheme="majorHAnsi" w:cs="TimesNewRomanPSMT"/>
          <w:iCs/>
          <w:sz w:val="18"/>
          <w:szCs w:val="18"/>
        </w:rPr>
        <w:tab/>
        <w:t>Az AXON Pénzügyi és Lízing Zártkörűen Működő Részvénytársaság</w:t>
      </w:r>
      <w:r w:rsidR="00952B62">
        <w:rPr>
          <w:rFonts w:asciiTheme="majorHAnsi" w:hAnsiTheme="majorHAnsi" w:cs="TimesNewRomanPSMT"/>
          <w:iCs/>
          <w:sz w:val="18"/>
          <w:szCs w:val="18"/>
        </w:rPr>
        <w:t xml:space="preserve"> fióktelepe: </w:t>
      </w:r>
      <w:r w:rsidRPr="00952B62">
        <w:rPr>
          <w:rFonts w:asciiTheme="majorHAnsi" w:hAnsiTheme="majorHAnsi" w:cs="TimesNewRomanPSMT"/>
          <w:sz w:val="18"/>
          <w:szCs w:val="18"/>
        </w:rPr>
        <w:t>5000 Szolnok, Szigligeti út 2.</w:t>
      </w:r>
    </w:p>
    <w:p w:rsidR="00903065" w:rsidRPr="00952B62" w:rsidRDefault="00903065" w:rsidP="00BA2848">
      <w:pPr>
        <w:widowControl w:val="0"/>
        <w:tabs>
          <w:tab w:val="left" w:pos="284"/>
          <w:tab w:val="left" w:pos="720"/>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ab/>
      </w:r>
      <w:r w:rsidRPr="00952B62">
        <w:rPr>
          <w:rFonts w:asciiTheme="majorHAnsi" w:hAnsiTheme="majorHAnsi" w:cs="TimesNewRomanPSMT"/>
          <w:sz w:val="18"/>
          <w:szCs w:val="18"/>
        </w:rPr>
        <w:tab/>
      </w:r>
      <w:r w:rsidR="00927D3C" w:rsidRPr="00952B62">
        <w:rPr>
          <w:rFonts w:asciiTheme="majorHAnsi" w:hAnsiTheme="majorHAnsi" w:cs="TimesNewRomanPSMT"/>
          <w:sz w:val="18"/>
          <w:szCs w:val="18"/>
        </w:rPr>
        <w:tab/>
      </w:r>
      <w:r w:rsidRPr="00952B62">
        <w:rPr>
          <w:rFonts w:asciiTheme="majorHAnsi" w:hAnsiTheme="majorHAnsi" w:cs="TimesNewRomanPSMT"/>
          <w:sz w:val="18"/>
          <w:szCs w:val="18"/>
        </w:rPr>
        <w:t>Telefon</w:t>
      </w:r>
      <w:r w:rsidRPr="00952B62">
        <w:rPr>
          <w:rFonts w:asciiTheme="majorHAnsi" w:hAnsiTheme="majorHAnsi" w:cs="TimesNewRomanPSMT"/>
          <w:sz w:val="18"/>
          <w:szCs w:val="18"/>
        </w:rPr>
        <w:tab/>
        <w:t xml:space="preserve">: +36 56 / </w:t>
      </w:r>
      <w:r w:rsidR="00952B62">
        <w:rPr>
          <w:rFonts w:asciiTheme="majorHAnsi" w:hAnsiTheme="majorHAnsi" w:cs="TimesNewRomanPSMT"/>
          <w:sz w:val="18"/>
          <w:szCs w:val="18"/>
        </w:rPr>
        <w:t>799-190</w:t>
      </w:r>
    </w:p>
    <w:p w:rsidR="00903065" w:rsidRPr="00952B62" w:rsidRDefault="00903065" w:rsidP="00BA2848">
      <w:pPr>
        <w:widowControl w:val="0"/>
        <w:tabs>
          <w:tab w:val="left" w:pos="284"/>
          <w:tab w:val="left" w:pos="720"/>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ab/>
      </w:r>
      <w:r w:rsidRPr="00952B62">
        <w:rPr>
          <w:rFonts w:asciiTheme="majorHAnsi" w:hAnsiTheme="majorHAnsi" w:cs="TimesNewRomanPSMT"/>
          <w:sz w:val="18"/>
          <w:szCs w:val="18"/>
        </w:rPr>
        <w:tab/>
      </w:r>
      <w:r w:rsidR="00927D3C" w:rsidRPr="00952B62">
        <w:rPr>
          <w:rFonts w:asciiTheme="majorHAnsi" w:hAnsiTheme="majorHAnsi" w:cs="TimesNewRomanPSMT"/>
          <w:sz w:val="18"/>
          <w:szCs w:val="18"/>
        </w:rPr>
        <w:tab/>
      </w:r>
      <w:r w:rsidRPr="00952B62">
        <w:rPr>
          <w:rFonts w:asciiTheme="majorHAnsi" w:hAnsiTheme="majorHAnsi" w:cs="TimesNewRomanPSMT"/>
          <w:sz w:val="18"/>
          <w:szCs w:val="18"/>
        </w:rPr>
        <w:t>Fax</w:t>
      </w:r>
      <w:r w:rsidRPr="00952B62">
        <w:rPr>
          <w:rFonts w:asciiTheme="majorHAnsi" w:hAnsiTheme="majorHAnsi" w:cs="TimesNewRomanPSMT"/>
          <w:sz w:val="18"/>
          <w:szCs w:val="18"/>
        </w:rPr>
        <w:tab/>
        <w:t xml:space="preserve">: +36 56 / </w:t>
      </w:r>
      <w:r w:rsidR="00952B62">
        <w:rPr>
          <w:rFonts w:asciiTheme="majorHAnsi" w:hAnsiTheme="majorHAnsi" w:cs="TimesNewRomanPSMT"/>
          <w:sz w:val="18"/>
          <w:szCs w:val="18"/>
        </w:rPr>
        <w:t>799-185</w:t>
      </w:r>
      <w:bookmarkStart w:id="0" w:name="_GoBack"/>
      <w:bookmarkEnd w:id="0"/>
    </w:p>
    <w:p w:rsidR="00552F01" w:rsidRPr="00952B62" w:rsidRDefault="00552F01" w:rsidP="00BA2848">
      <w:pPr>
        <w:widowControl w:val="0"/>
        <w:tabs>
          <w:tab w:val="left" w:pos="284"/>
          <w:tab w:val="left" w:pos="720"/>
        </w:tabs>
        <w:autoSpaceDE w:val="0"/>
        <w:autoSpaceDN w:val="0"/>
        <w:adjustRightInd w:val="0"/>
        <w:ind w:right="-5"/>
        <w:jc w:val="both"/>
        <w:rPr>
          <w:rFonts w:asciiTheme="majorHAnsi" w:hAnsiTheme="majorHAnsi" w:cs="TimesNewRomanPSMT"/>
          <w:sz w:val="18"/>
          <w:szCs w:val="18"/>
        </w:rPr>
      </w:pP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bCs/>
          <w:iCs/>
          <w:sz w:val="18"/>
          <w:szCs w:val="18"/>
        </w:rPr>
      </w:pPr>
      <w:r w:rsidRPr="00952B62">
        <w:rPr>
          <w:rFonts w:asciiTheme="majorHAnsi" w:hAnsiTheme="majorHAnsi" w:cs="TimesNewRomanPSMT"/>
          <w:sz w:val="18"/>
          <w:szCs w:val="18"/>
        </w:rPr>
        <w:t xml:space="preserve"> </w:t>
      </w:r>
      <w:r w:rsidRPr="00952B62">
        <w:rPr>
          <w:rFonts w:asciiTheme="majorHAnsi" w:hAnsiTheme="majorHAnsi" w:cs="TimesNewRomanPSMT"/>
          <w:bCs/>
          <w:sz w:val="18"/>
          <w:szCs w:val="18"/>
        </w:rPr>
        <w:t>2.</w:t>
      </w:r>
      <w:r w:rsidRPr="00952B62">
        <w:rPr>
          <w:rFonts w:asciiTheme="majorHAnsi" w:hAnsiTheme="majorHAnsi" w:cs="TimesNewRomanPSMT"/>
          <w:bCs/>
          <w:sz w:val="18"/>
          <w:szCs w:val="18"/>
        </w:rPr>
        <w:tab/>
      </w:r>
      <w:r w:rsidRPr="00952B62">
        <w:rPr>
          <w:rFonts w:asciiTheme="majorHAnsi" w:hAnsiTheme="majorHAnsi" w:cs="TimesNewRomanPSMT"/>
          <w:bCs/>
          <w:iCs/>
          <w:sz w:val="18"/>
          <w:szCs w:val="18"/>
        </w:rPr>
        <w:t>Az AXON Pénzügyi és Lízing Zártkörűen Működő Részvénytársaság hivatali órái</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b/>
          <w:bCs/>
          <w:sz w:val="18"/>
          <w:szCs w:val="18"/>
        </w:rPr>
      </w:pPr>
    </w:p>
    <w:p w:rsidR="00903065" w:rsidRPr="00952B62" w:rsidRDefault="00903065" w:rsidP="00BA2848">
      <w:pPr>
        <w:widowControl w:val="0"/>
        <w:tabs>
          <w:tab w:val="left" w:pos="284"/>
          <w:tab w:val="left" w:pos="720"/>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Pr="00952B62">
        <w:rPr>
          <w:rFonts w:asciiTheme="majorHAnsi" w:hAnsiTheme="majorHAnsi" w:cs="TimesNewRomanPSMT"/>
          <w:sz w:val="18"/>
          <w:szCs w:val="18"/>
        </w:rPr>
        <w:t>Hétfő – Csütörtök:</w:t>
      </w:r>
      <w:r w:rsidRPr="00952B62">
        <w:rPr>
          <w:rFonts w:asciiTheme="majorHAnsi" w:hAnsiTheme="majorHAnsi" w:cs="TimesNewRomanPSMT"/>
          <w:sz w:val="18"/>
          <w:szCs w:val="18"/>
        </w:rPr>
        <w:tab/>
        <w:t>8:00 – 16:30</w:t>
      </w:r>
    </w:p>
    <w:p w:rsidR="00903065" w:rsidRPr="00952B62" w:rsidRDefault="00903065" w:rsidP="00BA2848">
      <w:pPr>
        <w:widowControl w:val="0"/>
        <w:tabs>
          <w:tab w:val="left" w:pos="284"/>
          <w:tab w:val="left" w:pos="720"/>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Pr="00952B62">
        <w:rPr>
          <w:rFonts w:asciiTheme="majorHAnsi" w:hAnsiTheme="majorHAnsi" w:cs="TimesNewRomanPSMT"/>
          <w:sz w:val="18"/>
          <w:szCs w:val="18"/>
        </w:rPr>
        <w:t>Péntek:</w:t>
      </w:r>
      <w:r w:rsidRPr="00952B62">
        <w:rPr>
          <w:rFonts w:asciiTheme="majorHAnsi" w:hAnsiTheme="majorHAnsi" w:cs="TimesNewRomanPSMT"/>
          <w:sz w:val="18"/>
          <w:szCs w:val="18"/>
        </w:rPr>
        <w:tab/>
      </w:r>
      <w:r w:rsidRPr="00952B62">
        <w:rPr>
          <w:rFonts w:asciiTheme="majorHAnsi" w:hAnsiTheme="majorHAnsi" w:cs="TimesNewRomanPSMT"/>
          <w:sz w:val="18"/>
          <w:szCs w:val="18"/>
        </w:rPr>
        <w:tab/>
        <w:t xml:space="preserve">8:00 – 15:00 </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bCs/>
          <w:sz w:val="18"/>
          <w:szCs w:val="18"/>
        </w:rPr>
      </w:pPr>
      <w:r w:rsidRPr="00952B62">
        <w:rPr>
          <w:rFonts w:asciiTheme="majorHAnsi" w:hAnsiTheme="majorHAnsi" w:cs="TimesNewRomanPSMT"/>
          <w:bCs/>
          <w:sz w:val="18"/>
          <w:szCs w:val="18"/>
        </w:rPr>
        <w:t>3.</w:t>
      </w:r>
      <w:r w:rsidRPr="00952B62">
        <w:rPr>
          <w:rFonts w:asciiTheme="majorHAnsi" w:hAnsiTheme="majorHAnsi" w:cs="TimesNewRomanPSMT"/>
          <w:bCs/>
          <w:sz w:val="18"/>
          <w:szCs w:val="18"/>
        </w:rPr>
        <w:tab/>
      </w:r>
      <w:r w:rsidRPr="00952B62">
        <w:rPr>
          <w:rFonts w:asciiTheme="majorHAnsi" w:hAnsiTheme="majorHAnsi" w:cs="TimesNewRomanPSMT"/>
          <w:bCs/>
          <w:iCs/>
          <w:sz w:val="18"/>
          <w:szCs w:val="18"/>
        </w:rPr>
        <w:t>Az AXON Pénzügyi és Lízing Zártkörűen Működő Részvénytársaság pénztár nyitvatartási és ügyfélfogadási időpontjai</w:t>
      </w:r>
    </w:p>
    <w:p w:rsidR="00903065" w:rsidRPr="00952B62" w:rsidRDefault="00903065" w:rsidP="00BA2848">
      <w:pPr>
        <w:widowControl w:val="0"/>
        <w:tabs>
          <w:tab w:val="left" w:pos="284"/>
        </w:tabs>
        <w:autoSpaceDE w:val="0"/>
        <w:autoSpaceDN w:val="0"/>
        <w:adjustRightInd w:val="0"/>
        <w:ind w:right="-5"/>
        <w:rPr>
          <w:rFonts w:asciiTheme="majorHAnsi" w:hAnsiTheme="majorHAnsi" w:cs="TimesNewRomanPSMT"/>
          <w:sz w:val="18"/>
          <w:szCs w:val="18"/>
        </w:rPr>
      </w:pPr>
    </w:p>
    <w:p w:rsidR="00903065" w:rsidRPr="00952B62" w:rsidRDefault="00903065" w:rsidP="00BA2848">
      <w:pPr>
        <w:widowControl w:val="0"/>
        <w:tabs>
          <w:tab w:val="left" w:pos="284"/>
          <w:tab w:val="left" w:pos="720"/>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Pr="00952B62">
        <w:rPr>
          <w:rFonts w:asciiTheme="majorHAnsi" w:hAnsiTheme="majorHAnsi" w:cs="TimesNewRomanPSMT"/>
          <w:sz w:val="18"/>
          <w:szCs w:val="18"/>
        </w:rPr>
        <w:t>Hétfő – Péntek:</w:t>
      </w:r>
      <w:r w:rsidRPr="00952B62">
        <w:rPr>
          <w:rFonts w:asciiTheme="majorHAnsi" w:hAnsiTheme="majorHAnsi" w:cs="TimesNewRomanPSMT"/>
          <w:sz w:val="18"/>
          <w:szCs w:val="18"/>
        </w:rPr>
        <w:tab/>
        <w:t>8:30 – 12:30</w:t>
      </w:r>
    </w:p>
    <w:p w:rsidR="00735941" w:rsidRPr="00952B62" w:rsidRDefault="00735941" w:rsidP="00BA2848">
      <w:pPr>
        <w:widowControl w:val="0"/>
        <w:tabs>
          <w:tab w:val="left" w:pos="284"/>
          <w:tab w:val="left" w:pos="720"/>
        </w:tabs>
        <w:autoSpaceDE w:val="0"/>
        <w:autoSpaceDN w:val="0"/>
        <w:adjustRightInd w:val="0"/>
        <w:ind w:right="-5"/>
        <w:jc w:val="both"/>
        <w:rPr>
          <w:rFonts w:asciiTheme="majorHAnsi" w:hAnsiTheme="majorHAnsi" w:cs="TimesNewRomanPSMT"/>
          <w:sz w:val="18"/>
          <w:szCs w:val="18"/>
        </w:rPr>
      </w:pPr>
    </w:p>
    <w:p w:rsidR="00735941" w:rsidRPr="00952B62" w:rsidRDefault="00735941" w:rsidP="00BA2848">
      <w:pPr>
        <w:pStyle w:val="Szvegtrzs1"/>
        <w:numPr>
          <w:ilvl w:val="0"/>
          <w:numId w:val="14"/>
        </w:numPr>
        <w:shd w:val="clear" w:color="auto" w:fill="auto"/>
        <w:tabs>
          <w:tab w:val="left" w:pos="308"/>
        </w:tabs>
        <w:spacing w:before="0" w:after="117" w:line="240" w:lineRule="auto"/>
        <w:ind w:left="0" w:right="40" w:firstLine="0"/>
        <w:jc w:val="both"/>
        <w:rPr>
          <w:rFonts w:asciiTheme="majorHAnsi" w:hAnsiTheme="majorHAnsi"/>
          <w:sz w:val="18"/>
          <w:szCs w:val="18"/>
        </w:rPr>
      </w:pPr>
      <w:r w:rsidRPr="00952B62">
        <w:rPr>
          <w:rFonts w:asciiTheme="majorHAnsi" w:hAnsiTheme="majorHAnsi" w:cs="TimesNewRomanPSMT"/>
          <w:sz w:val="18"/>
          <w:szCs w:val="18"/>
        </w:rPr>
        <w:t xml:space="preserve">4. </w:t>
      </w:r>
      <w:r w:rsidRPr="00952B62">
        <w:rPr>
          <w:rFonts w:asciiTheme="majorHAnsi" w:hAnsiTheme="majorHAnsi"/>
          <w:sz w:val="18"/>
          <w:szCs w:val="18"/>
        </w:rPr>
        <w:t>A hitelképesség bevizsgálásához szüksé</w:t>
      </w:r>
      <w:r w:rsidRPr="00952B62">
        <w:rPr>
          <w:rFonts w:asciiTheme="majorHAnsi" w:hAnsiTheme="majorHAnsi"/>
          <w:sz w:val="18"/>
          <w:szCs w:val="18"/>
        </w:rPr>
        <w:softHyphen/>
        <w:t>ges anyagokat és a szerződéskötéshez szükséges információkat a finanszírozási döntés előterjesztéséhez kiállítandó Adatlap tartalmazza.</w:t>
      </w:r>
    </w:p>
    <w:p w:rsidR="00735941" w:rsidRPr="00952B62" w:rsidRDefault="00735941" w:rsidP="00BA2848">
      <w:pPr>
        <w:pStyle w:val="Szvegtrzs1"/>
        <w:numPr>
          <w:ilvl w:val="0"/>
          <w:numId w:val="14"/>
        </w:numPr>
        <w:shd w:val="clear" w:color="auto" w:fill="auto"/>
        <w:tabs>
          <w:tab w:val="left" w:pos="308"/>
        </w:tabs>
        <w:spacing w:before="0" w:after="123" w:line="240" w:lineRule="auto"/>
        <w:ind w:left="0" w:right="40" w:firstLine="0"/>
        <w:jc w:val="both"/>
        <w:rPr>
          <w:rFonts w:asciiTheme="majorHAnsi" w:hAnsiTheme="majorHAnsi"/>
          <w:sz w:val="18"/>
          <w:szCs w:val="18"/>
        </w:rPr>
      </w:pPr>
      <w:r w:rsidRPr="00952B62">
        <w:rPr>
          <w:rFonts w:asciiTheme="majorHAnsi" w:hAnsiTheme="majorHAnsi"/>
          <w:sz w:val="18"/>
          <w:szCs w:val="18"/>
        </w:rPr>
        <w:t xml:space="preserve">Az Üzletfél aktuális jogi, gazdasági és pénzügyi státuszára vonatkozó adatokat az AXON Pénzügyi és Lízing </w:t>
      </w:r>
      <w:r w:rsidR="00952B62">
        <w:rPr>
          <w:rFonts w:asciiTheme="majorHAnsi" w:hAnsiTheme="majorHAnsi"/>
          <w:sz w:val="18"/>
          <w:szCs w:val="18"/>
        </w:rPr>
        <w:t>Zrt.</w:t>
      </w:r>
      <w:r w:rsidRPr="00952B62">
        <w:rPr>
          <w:rFonts w:asciiTheme="majorHAnsi" w:hAnsiTheme="majorHAnsi"/>
          <w:sz w:val="18"/>
          <w:szCs w:val="18"/>
        </w:rPr>
        <w:t xml:space="preserve"> kérésére kell rendelkezésre bocsátani, az AXON Pénzügyi és Lízing </w:t>
      </w:r>
      <w:r w:rsidR="00952B62">
        <w:rPr>
          <w:rFonts w:asciiTheme="majorHAnsi" w:hAnsiTheme="majorHAnsi"/>
          <w:sz w:val="18"/>
          <w:szCs w:val="18"/>
        </w:rPr>
        <w:t>Zrt.</w:t>
      </w:r>
      <w:r w:rsidRPr="00952B62">
        <w:rPr>
          <w:rFonts w:asciiTheme="majorHAnsi" w:hAnsiTheme="majorHAnsi"/>
          <w:sz w:val="18"/>
          <w:szCs w:val="18"/>
        </w:rPr>
        <w:t xml:space="preserve"> által megjelölt határidőn belül.</w:t>
      </w:r>
    </w:p>
    <w:p w:rsidR="00903065" w:rsidRPr="00952B62" w:rsidRDefault="00903065" w:rsidP="00BA2848">
      <w:pPr>
        <w:widowControl w:val="0"/>
        <w:tabs>
          <w:tab w:val="left" w:pos="284"/>
          <w:tab w:val="left" w:pos="1701"/>
        </w:tabs>
        <w:autoSpaceDE w:val="0"/>
        <w:autoSpaceDN w:val="0"/>
        <w:adjustRightInd w:val="0"/>
        <w:ind w:right="-5"/>
        <w:jc w:val="both"/>
        <w:rPr>
          <w:rFonts w:asciiTheme="majorHAnsi" w:hAnsiTheme="majorHAnsi" w:cs="TimesNewRomanPSMT"/>
          <w:b/>
          <w:bCs/>
          <w:sz w:val="18"/>
          <w:szCs w:val="18"/>
        </w:rPr>
      </w:pPr>
    </w:p>
    <w:p w:rsidR="00903065" w:rsidRPr="00952B62" w:rsidRDefault="00735941" w:rsidP="00BA2848">
      <w:pPr>
        <w:widowControl w:val="0"/>
        <w:tabs>
          <w:tab w:val="left" w:pos="284"/>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6</w:t>
      </w:r>
      <w:r w:rsidR="00903065" w:rsidRPr="00952B62">
        <w:rPr>
          <w:rFonts w:asciiTheme="majorHAnsi" w:hAnsiTheme="majorHAnsi" w:cs="TimesNewRomanPSMT"/>
          <w:sz w:val="18"/>
          <w:szCs w:val="18"/>
        </w:rPr>
        <w:t>.</w:t>
      </w:r>
      <w:r w:rsidR="00903065" w:rsidRPr="00952B62">
        <w:rPr>
          <w:rFonts w:asciiTheme="majorHAnsi" w:hAnsiTheme="majorHAnsi" w:cs="TimesNewRomanPSMT"/>
          <w:sz w:val="18"/>
          <w:szCs w:val="18"/>
        </w:rPr>
        <w:tab/>
        <w:t>Az Üzletfél helyett az AXON Pénzügyi és Lízing Zártkörűen Működő Részvénytársaság vagy harmadik személy által megfizetett összegekre felszámítható kezelési költség:</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Pr="00952B62">
        <w:rPr>
          <w:rFonts w:asciiTheme="majorHAnsi" w:hAnsiTheme="majorHAnsi" w:cs="TimesNewRomanPSMT"/>
          <w:sz w:val="18"/>
          <w:szCs w:val="18"/>
        </w:rPr>
        <w:t>a megfizetett összeg 50%-a, de maximum 25.000,– Ft</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p>
    <w:p w:rsidR="00903065" w:rsidRPr="00952B62" w:rsidRDefault="00735941" w:rsidP="00BA2848">
      <w:pPr>
        <w:widowControl w:val="0"/>
        <w:tabs>
          <w:tab w:val="left" w:pos="284"/>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7</w:t>
      </w:r>
      <w:r w:rsidR="00903065" w:rsidRPr="00952B62">
        <w:rPr>
          <w:rFonts w:asciiTheme="majorHAnsi" w:hAnsiTheme="majorHAnsi" w:cs="TimesNewRomanPSMT"/>
          <w:sz w:val="18"/>
          <w:szCs w:val="18"/>
        </w:rPr>
        <w:t>.</w:t>
      </w:r>
      <w:r w:rsidR="00903065" w:rsidRPr="00952B62">
        <w:rPr>
          <w:rFonts w:asciiTheme="majorHAnsi" w:hAnsiTheme="majorHAnsi" w:cs="TimesNewRomanPSMT"/>
          <w:sz w:val="18"/>
          <w:szCs w:val="18"/>
        </w:rPr>
        <w:tab/>
        <w:t>Az AXON Pénzügyi és Lízing Zártkörűen Működő Részvénytársaság Üzletféllel szembeni követelésének, igényének, jogának vagy jogosultságának érvényesítésével, avagy érvényesíthetőségének biztosításával, avagy ezek megkísérlésével összefüggésben felszámítható átalányköltségek</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iCs/>
          <w:sz w:val="18"/>
          <w:szCs w:val="18"/>
        </w:rPr>
      </w:pPr>
      <w:r w:rsidRPr="00952B62">
        <w:rPr>
          <w:rFonts w:asciiTheme="majorHAnsi" w:hAnsiTheme="majorHAnsi" w:cs="TimesNewRomanPSMT"/>
          <w:iCs/>
          <w:sz w:val="18"/>
          <w:szCs w:val="18"/>
        </w:rPr>
        <w:tab/>
      </w:r>
      <w:r w:rsidRPr="00952B62">
        <w:rPr>
          <w:rFonts w:asciiTheme="majorHAnsi" w:hAnsiTheme="majorHAnsi" w:cs="TimesNewRomanPSMT"/>
          <w:iCs/>
          <w:sz w:val="18"/>
          <w:szCs w:val="18"/>
        </w:rPr>
        <w:tab/>
        <w:t xml:space="preserve"> (A)</w:t>
      </w:r>
      <w:r w:rsidRPr="00952B62">
        <w:rPr>
          <w:rFonts w:asciiTheme="majorHAnsi" w:hAnsiTheme="majorHAnsi" w:cs="TimesNewRomanPSMT"/>
          <w:iCs/>
          <w:sz w:val="18"/>
          <w:szCs w:val="18"/>
        </w:rPr>
        <w:tab/>
        <w:t>behajtás, beszedés esetén, a beszedett összeg alapján</w:t>
      </w:r>
    </w:p>
    <w:p w:rsidR="00903065" w:rsidRPr="00952B62" w:rsidRDefault="00903065" w:rsidP="00BA2848">
      <w:pPr>
        <w:widowControl w:val="0"/>
        <w:tabs>
          <w:tab w:val="left" w:pos="284"/>
          <w:tab w:val="left" w:pos="2410"/>
        </w:tabs>
        <w:autoSpaceDE w:val="0"/>
        <w:autoSpaceDN w:val="0"/>
        <w:adjustRightInd w:val="0"/>
        <w:ind w:right="-5"/>
        <w:rPr>
          <w:rFonts w:asciiTheme="majorHAnsi" w:hAnsiTheme="majorHAnsi" w:cs="TimesNewRomanPSMT"/>
          <w:sz w:val="18"/>
          <w:szCs w:val="18"/>
        </w:rPr>
      </w:pPr>
      <w:r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Pr="00952B62">
        <w:rPr>
          <w:rFonts w:asciiTheme="majorHAnsi" w:hAnsiTheme="majorHAnsi" w:cs="TimesNewRomanPSMT"/>
          <w:sz w:val="18"/>
          <w:szCs w:val="18"/>
        </w:rPr>
        <w:t>500 ezer Ft-ig</w:t>
      </w:r>
      <w:r w:rsidRPr="00952B62">
        <w:rPr>
          <w:rFonts w:asciiTheme="majorHAnsi" w:hAnsiTheme="majorHAnsi" w:cs="TimesNewRomanPSMT"/>
          <w:sz w:val="18"/>
          <w:szCs w:val="18"/>
        </w:rPr>
        <w:tab/>
      </w:r>
      <w:r w:rsidRPr="00952B62">
        <w:rPr>
          <w:rFonts w:asciiTheme="majorHAnsi" w:hAnsiTheme="majorHAnsi" w:cs="TimesNewRomanPSMT"/>
          <w:sz w:val="18"/>
          <w:szCs w:val="18"/>
        </w:rPr>
        <w:tab/>
      </w:r>
      <w:r w:rsidRPr="00952B62">
        <w:rPr>
          <w:rFonts w:asciiTheme="majorHAnsi" w:hAnsiTheme="majorHAnsi" w:cs="TimesNewRomanPSMT"/>
          <w:sz w:val="18"/>
          <w:szCs w:val="18"/>
        </w:rPr>
        <w:tab/>
        <w:t xml:space="preserve">: </w:t>
      </w:r>
      <w:r w:rsidRPr="00952B62">
        <w:rPr>
          <w:rFonts w:asciiTheme="majorHAnsi" w:hAnsiTheme="majorHAnsi" w:cs="TimesNewRomanPSMT"/>
          <w:sz w:val="18"/>
          <w:szCs w:val="18"/>
        </w:rPr>
        <w:tab/>
      </w:r>
      <w:r w:rsidR="00705B35" w:rsidRPr="00952B62">
        <w:rPr>
          <w:rFonts w:asciiTheme="majorHAnsi" w:hAnsiTheme="majorHAnsi" w:cs="TimesNewRomanPSMT"/>
          <w:sz w:val="18"/>
          <w:szCs w:val="18"/>
        </w:rPr>
        <w:t>a beszedett összeg 10 %-a</w:t>
      </w:r>
      <w:r w:rsidRPr="00952B62">
        <w:rPr>
          <w:rFonts w:asciiTheme="majorHAnsi" w:hAnsiTheme="majorHAnsi" w:cs="TimesNewRomanPSMT"/>
          <w:sz w:val="18"/>
          <w:szCs w:val="18"/>
        </w:rPr>
        <w:t>,</w:t>
      </w:r>
    </w:p>
    <w:p w:rsidR="00903065" w:rsidRPr="00952B62" w:rsidRDefault="00903065" w:rsidP="00BA2848">
      <w:pPr>
        <w:widowControl w:val="0"/>
        <w:tabs>
          <w:tab w:val="left" w:pos="284"/>
          <w:tab w:val="left" w:pos="2410"/>
        </w:tabs>
        <w:autoSpaceDE w:val="0"/>
        <w:autoSpaceDN w:val="0"/>
        <w:adjustRightInd w:val="0"/>
        <w:ind w:right="-5"/>
        <w:rPr>
          <w:rFonts w:asciiTheme="majorHAnsi" w:hAnsiTheme="majorHAnsi" w:cs="TimesNewRomanPSMT"/>
          <w:sz w:val="18"/>
          <w:szCs w:val="18"/>
        </w:rPr>
      </w:pPr>
      <w:r w:rsidRPr="00952B62">
        <w:rPr>
          <w:rFonts w:asciiTheme="majorHAnsi" w:hAnsiTheme="majorHAnsi" w:cs="TimesNewRomanPSMT"/>
          <w:sz w:val="18"/>
          <w:szCs w:val="18"/>
        </w:rPr>
        <w:tab/>
      </w:r>
      <w:r w:rsidR="00B62FA7" w:rsidRPr="00952B62">
        <w:rPr>
          <w:rFonts w:asciiTheme="majorHAnsi" w:hAnsiTheme="majorHAnsi" w:cs="TimesNewRomanPSMT"/>
          <w:sz w:val="18"/>
          <w:szCs w:val="18"/>
        </w:rPr>
        <w:tab/>
      </w:r>
      <w:r w:rsidRPr="00952B62">
        <w:rPr>
          <w:rFonts w:asciiTheme="majorHAnsi" w:hAnsiTheme="majorHAnsi" w:cs="TimesNewRomanPSMT"/>
          <w:sz w:val="18"/>
          <w:szCs w:val="18"/>
        </w:rPr>
        <w:t>500 ezer Ft fölött</w:t>
      </w:r>
      <w:r w:rsidR="00705B35" w:rsidRPr="00952B62">
        <w:rPr>
          <w:rFonts w:asciiTheme="majorHAnsi" w:hAnsiTheme="majorHAnsi" w:cs="TimesNewRomanPSMT"/>
          <w:sz w:val="18"/>
          <w:szCs w:val="18"/>
        </w:rPr>
        <w:tab/>
      </w:r>
      <w:r w:rsidRPr="00952B62">
        <w:rPr>
          <w:rFonts w:asciiTheme="majorHAnsi" w:hAnsiTheme="majorHAnsi" w:cs="TimesNewRomanPSMT"/>
          <w:sz w:val="18"/>
          <w:szCs w:val="18"/>
        </w:rPr>
        <w:tab/>
        <w:t xml:space="preserve">: </w:t>
      </w:r>
      <w:r w:rsidRPr="00952B62">
        <w:rPr>
          <w:rFonts w:asciiTheme="majorHAnsi" w:hAnsiTheme="majorHAnsi" w:cs="TimesNewRomanPSMT"/>
          <w:sz w:val="18"/>
          <w:szCs w:val="18"/>
        </w:rPr>
        <w:tab/>
      </w:r>
      <w:r w:rsidR="00705B35" w:rsidRPr="00952B62">
        <w:rPr>
          <w:rFonts w:asciiTheme="majorHAnsi" w:hAnsiTheme="majorHAnsi" w:cs="TimesNewRomanPSMT"/>
          <w:sz w:val="18"/>
          <w:szCs w:val="18"/>
        </w:rPr>
        <w:t>6</w:t>
      </w:r>
      <w:r w:rsidRPr="00952B62">
        <w:rPr>
          <w:rFonts w:asciiTheme="majorHAnsi" w:hAnsiTheme="majorHAnsi" w:cs="TimesNewRomanPSMT"/>
          <w:sz w:val="18"/>
          <w:szCs w:val="18"/>
        </w:rPr>
        <w:t>0.000,– Ft,</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iCs/>
          <w:sz w:val="18"/>
          <w:szCs w:val="18"/>
        </w:rPr>
      </w:pP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iCs/>
          <w:sz w:val="18"/>
          <w:szCs w:val="18"/>
        </w:rPr>
        <w:tab/>
      </w:r>
      <w:r w:rsidRPr="00952B62">
        <w:rPr>
          <w:rFonts w:asciiTheme="majorHAnsi" w:hAnsiTheme="majorHAnsi" w:cs="TimesNewRomanPSMT"/>
          <w:iCs/>
          <w:sz w:val="18"/>
          <w:szCs w:val="18"/>
        </w:rPr>
        <w:tab/>
        <w:t>(B)</w:t>
      </w:r>
      <w:r w:rsidRPr="00952B62">
        <w:rPr>
          <w:rFonts w:asciiTheme="majorHAnsi" w:hAnsiTheme="majorHAnsi" w:cs="TimesNewRomanPSMT"/>
          <w:iCs/>
          <w:sz w:val="18"/>
          <w:szCs w:val="18"/>
        </w:rPr>
        <w:tab/>
        <w:t>reáleszköz birtokbavétele esetén</w:t>
      </w:r>
      <w:r w:rsidR="00705B35" w:rsidRPr="00952B62">
        <w:rPr>
          <w:rFonts w:asciiTheme="majorHAnsi" w:hAnsiTheme="majorHAnsi" w:cs="TimesNewRomanPSMT"/>
          <w:iCs/>
          <w:sz w:val="18"/>
          <w:szCs w:val="18"/>
        </w:rPr>
        <w:tab/>
      </w:r>
      <w:r w:rsidR="00705B35" w:rsidRPr="00952B62">
        <w:rPr>
          <w:rFonts w:asciiTheme="majorHAnsi" w:hAnsiTheme="majorHAnsi" w:cs="TimesNewRomanPSMT"/>
          <w:iCs/>
          <w:sz w:val="18"/>
          <w:szCs w:val="18"/>
        </w:rPr>
        <w:tab/>
      </w:r>
      <w:r w:rsidR="00705B35" w:rsidRPr="00952B62">
        <w:rPr>
          <w:rFonts w:asciiTheme="majorHAnsi" w:hAnsiTheme="majorHAnsi" w:cs="TimesNewRomanPSMT"/>
          <w:sz w:val="18"/>
          <w:szCs w:val="18"/>
        </w:rPr>
        <w:t>:</w:t>
      </w:r>
      <w:r w:rsidR="00705B35" w:rsidRPr="00952B62">
        <w:rPr>
          <w:rFonts w:asciiTheme="majorHAnsi" w:hAnsiTheme="majorHAnsi" w:cs="TimesNewRomanPSMT"/>
          <w:sz w:val="18"/>
          <w:szCs w:val="18"/>
        </w:rPr>
        <w:tab/>
        <w:t>3</w:t>
      </w:r>
      <w:r w:rsidRPr="00952B62">
        <w:rPr>
          <w:rFonts w:asciiTheme="majorHAnsi" w:hAnsiTheme="majorHAnsi" w:cs="TimesNewRomanPSMT"/>
          <w:sz w:val="18"/>
          <w:szCs w:val="18"/>
        </w:rPr>
        <w:t>0.000,– Ft</w:t>
      </w:r>
      <w:r w:rsidR="00705B35" w:rsidRPr="00952B62">
        <w:rPr>
          <w:rFonts w:asciiTheme="majorHAnsi" w:hAnsiTheme="majorHAnsi" w:cs="TimesNewRomanPSMT"/>
          <w:sz w:val="18"/>
          <w:szCs w:val="18"/>
        </w:rPr>
        <w:t xml:space="preserve"> + útiköltség</w:t>
      </w:r>
      <w:r w:rsidRPr="00952B62">
        <w:rPr>
          <w:rFonts w:asciiTheme="majorHAnsi" w:hAnsiTheme="majorHAnsi" w:cs="TimesNewRomanPSMT"/>
          <w:sz w:val="18"/>
          <w:szCs w:val="18"/>
        </w:rPr>
        <w:t>;</w:t>
      </w:r>
    </w:p>
    <w:p w:rsidR="00903065" w:rsidRPr="00952B62" w:rsidRDefault="00903065" w:rsidP="00BA2848">
      <w:pPr>
        <w:widowControl w:val="0"/>
        <w:tabs>
          <w:tab w:val="left" w:pos="284"/>
        </w:tabs>
        <w:autoSpaceDE w:val="0"/>
        <w:autoSpaceDN w:val="0"/>
        <w:adjustRightInd w:val="0"/>
        <w:ind w:right="-5"/>
        <w:jc w:val="both"/>
        <w:rPr>
          <w:rFonts w:asciiTheme="majorHAnsi" w:hAnsiTheme="majorHAnsi" w:cs="TimesNewRomanPSMT"/>
          <w:sz w:val="18"/>
          <w:szCs w:val="18"/>
        </w:rPr>
      </w:pPr>
      <w:r w:rsidRPr="00952B62">
        <w:rPr>
          <w:rFonts w:asciiTheme="majorHAnsi" w:hAnsiTheme="majorHAnsi" w:cs="TimesNewRomanPSMT"/>
          <w:sz w:val="18"/>
          <w:szCs w:val="18"/>
        </w:rPr>
        <w:tab/>
      </w:r>
    </w:p>
    <w:p w:rsidR="00735941" w:rsidRPr="00952B62" w:rsidRDefault="00735941" w:rsidP="00BA2848">
      <w:pPr>
        <w:pStyle w:val="Bodytext160"/>
        <w:shd w:val="clear" w:color="auto" w:fill="auto"/>
        <w:tabs>
          <w:tab w:val="left" w:pos="284"/>
        </w:tabs>
        <w:spacing w:before="0" w:after="0" w:line="240" w:lineRule="auto"/>
        <w:ind w:right="40" w:firstLine="0"/>
        <w:jc w:val="left"/>
        <w:rPr>
          <w:rFonts w:asciiTheme="majorHAnsi" w:hAnsiTheme="majorHAnsi"/>
          <w:sz w:val="18"/>
          <w:szCs w:val="18"/>
        </w:rPr>
      </w:pPr>
      <w:r w:rsidRPr="00952B62">
        <w:rPr>
          <w:rFonts w:asciiTheme="majorHAnsi" w:hAnsiTheme="majorHAnsi"/>
          <w:sz w:val="18"/>
          <w:szCs w:val="18"/>
        </w:rPr>
        <w:tab/>
      </w:r>
      <w:r w:rsidR="00B62FA7" w:rsidRPr="00952B62">
        <w:rPr>
          <w:rFonts w:asciiTheme="majorHAnsi" w:hAnsiTheme="majorHAnsi"/>
          <w:sz w:val="18"/>
          <w:szCs w:val="18"/>
        </w:rPr>
        <w:tab/>
        <w:t xml:space="preserve">(C )            </w:t>
      </w:r>
      <w:r w:rsidRPr="00952B62">
        <w:rPr>
          <w:rFonts w:asciiTheme="majorHAnsi" w:hAnsiTheme="majorHAnsi"/>
          <w:sz w:val="18"/>
          <w:szCs w:val="18"/>
        </w:rPr>
        <w:t>tárolás, tároltatás esetén</w:t>
      </w:r>
      <w:r w:rsidRPr="00952B62">
        <w:rPr>
          <w:rFonts w:asciiTheme="majorHAnsi" w:hAnsiTheme="majorHAnsi"/>
          <w:sz w:val="18"/>
          <w:szCs w:val="18"/>
        </w:rPr>
        <w:tab/>
      </w:r>
      <w:r w:rsidRPr="00952B62">
        <w:rPr>
          <w:rFonts w:asciiTheme="majorHAnsi" w:hAnsiTheme="majorHAnsi"/>
          <w:sz w:val="18"/>
          <w:szCs w:val="18"/>
        </w:rPr>
        <w:tab/>
      </w:r>
      <w:r w:rsidRPr="00952B62">
        <w:rPr>
          <w:rFonts w:asciiTheme="majorHAnsi" w:hAnsiTheme="majorHAnsi"/>
          <w:sz w:val="18"/>
          <w:szCs w:val="18"/>
        </w:rPr>
        <w:tab/>
        <w:t xml:space="preserve">: </w:t>
      </w:r>
      <w:r w:rsidRPr="00952B62">
        <w:rPr>
          <w:rFonts w:asciiTheme="majorHAnsi" w:hAnsiTheme="majorHAnsi"/>
          <w:sz w:val="18"/>
          <w:szCs w:val="18"/>
        </w:rPr>
        <w:tab/>
      </w:r>
      <w:r w:rsidRPr="00952B62">
        <w:rPr>
          <w:rStyle w:val="Bodytext16NotItalic"/>
          <w:rFonts w:asciiTheme="majorHAnsi" w:hAnsiTheme="majorHAnsi"/>
          <w:sz w:val="18"/>
          <w:szCs w:val="18"/>
        </w:rPr>
        <w:t>500,- Ft/nap/eszköz;</w:t>
      </w:r>
    </w:p>
    <w:p w:rsidR="00735941" w:rsidRPr="00952B62" w:rsidRDefault="00735941" w:rsidP="00BA2848">
      <w:pPr>
        <w:pStyle w:val="Bodytext160"/>
        <w:numPr>
          <w:ilvl w:val="0"/>
          <w:numId w:val="18"/>
        </w:numPr>
        <w:shd w:val="clear" w:color="auto" w:fill="auto"/>
        <w:tabs>
          <w:tab w:val="left" w:pos="288"/>
        </w:tabs>
        <w:spacing w:before="0" w:after="0" w:line="240" w:lineRule="auto"/>
        <w:ind w:right="40"/>
        <w:jc w:val="left"/>
        <w:rPr>
          <w:rFonts w:asciiTheme="majorHAnsi" w:hAnsiTheme="majorHAnsi"/>
          <w:sz w:val="18"/>
          <w:szCs w:val="18"/>
        </w:rPr>
      </w:pPr>
      <w:r w:rsidRPr="00952B62">
        <w:rPr>
          <w:rFonts w:asciiTheme="majorHAnsi" w:hAnsiTheme="majorHAnsi"/>
          <w:sz w:val="18"/>
          <w:szCs w:val="18"/>
        </w:rPr>
        <w:t xml:space="preserve">       </w:t>
      </w:r>
      <w:r w:rsidR="00BA2848" w:rsidRPr="00952B62">
        <w:rPr>
          <w:rFonts w:asciiTheme="majorHAnsi" w:hAnsiTheme="majorHAnsi"/>
          <w:sz w:val="18"/>
          <w:szCs w:val="18"/>
        </w:rPr>
        <w:t xml:space="preserve"> </w:t>
      </w:r>
      <w:r w:rsidRPr="00952B62">
        <w:rPr>
          <w:rFonts w:asciiTheme="majorHAnsi" w:hAnsiTheme="majorHAnsi"/>
          <w:sz w:val="18"/>
          <w:szCs w:val="18"/>
        </w:rPr>
        <w:t xml:space="preserve"> őrzés, őriztetés esetén</w:t>
      </w:r>
      <w:r w:rsidRPr="00952B62">
        <w:rPr>
          <w:rFonts w:asciiTheme="majorHAnsi" w:hAnsiTheme="majorHAnsi"/>
          <w:sz w:val="18"/>
          <w:szCs w:val="18"/>
        </w:rPr>
        <w:tab/>
      </w:r>
      <w:r w:rsidRPr="00952B62">
        <w:rPr>
          <w:rFonts w:asciiTheme="majorHAnsi" w:hAnsiTheme="majorHAnsi"/>
          <w:sz w:val="18"/>
          <w:szCs w:val="18"/>
        </w:rPr>
        <w:tab/>
      </w:r>
      <w:r w:rsidRPr="00952B62">
        <w:rPr>
          <w:rFonts w:asciiTheme="majorHAnsi" w:hAnsiTheme="majorHAnsi"/>
          <w:sz w:val="18"/>
          <w:szCs w:val="18"/>
        </w:rPr>
        <w:tab/>
        <w:t>:</w:t>
      </w:r>
      <w:r w:rsidRPr="00952B62">
        <w:rPr>
          <w:rFonts w:asciiTheme="majorHAnsi" w:hAnsiTheme="majorHAnsi"/>
          <w:sz w:val="18"/>
          <w:szCs w:val="18"/>
        </w:rPr>
        <w:tab/>
      </w:r>
      <w:r w:rsidRPr="00952B62">
        <w:rPr>
          <w:rStyle w:val="Bodytext16NotItalic"/>
          <w:rFonts w:asciiTheme="majorHAnsi" w:hAnsiTheme="majorHAnsi"/>
          <w:sz w:val="18"/>
          <w:szCs w:val="18"/>
        </w:rPr>
        <w:t>500,- Ft /nap /eszköz.</w:t>
      </w:r>
    </w:p>
    <w:p w:rsidR="00735941" w:rsidRPr="00952B62" w:rsidRDefault="00735941" w:rsidP="00BA2848">
      <w:pPr>
        <w:widowControl w:val="0"/>
        <w:tabs>
          <w:tab w:val="left" w:pos="284"/>
        </w:tabs>
        <w:autoSpaceDE w:val="0"/>
        <w:autoSpaceDN w:val="0"/>
        <w:adjustRightInd w:val="0"/>
        <w:ind w:right="-5"/>
        <w:jc w:val="both"/>
        <w:rPr>
          <w:rFonts w:asciiTheme="majorHAnsi" w:hAnsiTheme="majorHAnsi" w:cs="TimesNewRomanPSMT"/>
          <w:iCs/>
          <w:sz w:val="18"/>
          <w:szCs w:val="18"/>
        </w:rPr>
      </w:pPr>
    </w:p>
    <w:p w:rsidR="00735941" w:rsidRPr="00952B62" w:rsidRDefault="00735941" w:rsidP="00BA2848">
      <w:pPr>
        <w:pStyle w:val="Szvegtrzs1"/>
        <w:shd w:val="clear" w:color="auto" w:fill="auto"/>
        <w:tabs>
          <w:tab w:val="left" w:pos="315"/>
        </w:tabs>
        <w:spacing w:before="0" w:after="132" w:line="240" w:lineRule="auto"/>
        <w:ind w:right="40" w:firstLine="0"/>
        <w:jc w:val="both"/>
        <w:rPr>
          <w:rFonts w:asciiTheme="majorHAnsi" w:hAnsiTheme="majorHAnsi"/>
          <w:sz w:val="18"/>
          <w:szCs w:val="18"/>
        </w:rPr>
      </w:pPr>
      <w:r w:rsidRPr="00952B62">
        <w:rPr>
          <w:rFonts w:asciiTheme="majorHAnsi" w:hAnsiTheme="majorHAnsi" w:cs="TimesNewRomanPSMT"/>
          <w:sz w:val="18"/>
          <w:szCs w:val="18"/>
        </w:rPr>
        <w:t>8.</w:t>
      </w:r>
      <w:r w:rsidR="00903065" w:rsidRPr="00952B62">
        <w:rPr>
          <w:rFonts w:asciiTheme="majorHAnsi" w:hAnsiTheme="majorHAnsi" w:cs="TimesNewRomanPSMT"/>
          <w:sz w:val="18"/>
          <w:szCs w:val="18"/>
        </w:rPr>
        <w:tab/>
      </w:r>
      <w:r w:rsidRPr="00952B62">
        <w:rPr>
          <w:rFonts w:asciiTheme="majorHAnsi" w:hAnsiTheme="majorHAnsi"/>
          <w:sz w:val="18"/>
          <w:szCs w:val="18"/>
        </w:rPr>
        <w:t>A szerződésmódosítási díj általános mér</w:t>
      </w:r>
      <w:r w:rsidRPr="00952B62">
        <w:rPr>
          <w:rFonts w:asciiTheme="majorHAnsi" w:hAnsiTheme="majorHAnsi"/>
          <w:sz w:val="18"/>
          <w:szCs w:val="18"/>
        </w:rPr>
        <w:softHyphen/>
        <w:t>téke:</w:t>
      </w:r>
    </w:p>
    <w:p w:rsidR="00735941" w:rsidRPr="00952B62" w:rsidRDefault="00735941" w:rsidP="00BA2848">
      <w:pPr>
        <w:pStyle w:val="Bodytext150"/>
        <w:shd w:val="clear" w:color="auto" w:fill="auto"/>
        <w:spacing w:before="0" w:after="231" w:line="240" w:lineRule="auto"/>
        <w:ind w:left="709" w:right="40" w:firstLine="0"/>
        <w:rPr>
          <w:rFonts w:asciiTheme="majorHAnsi" w:hAnsiTheme="majorHAnsi"/>
          <w:sz w:val="18"/>
          <w:szCs w:val="18"/>
        </w:rPr>
      </w:pPr>
      <w:r w:rsidRPr="00952B62">
        <w:rPr>
          <w:rFonts w:asciiTheme="majorHAnsi" w:hAnsiTheme="majorHAnsi"/>
          <w:sz w:val="18"/>
          <w:szCs w:val="18"/>
        </w:rPr>
        <w:t>az esedékességkor meg nem fizetett, valamint a jövőben esedékessé váló tőkekövetelés együttes összegének 5%-a.</w:t>
      </w:r>
    </w:p>
    <w:p w:rsidR="00735941" w:rsidRPr="00952B62" w:rsidRDefault="00735941" w:rsidP="00BA2848">
      <w:pPr>
        <w:pStyle w:val="Szvegtrzs1"/>
        <w:numPr>
          <w:ilvl w:val="0"/>
          <w:numId w:val="17"/>
        </w:numPr>
        <w:shd w:val="clear" w:color="auto" w:fill="auto"/>
        <w:tabs>
          <w:tab w:val="left" w:pos="322"/>
        </w:tabs>
        <w:spacing w:before="0" w:after="138" w:line="240" w:lineRule="auto"/>
        <w:ind w:left="0" w:right="40" w:firstLine="0"/>
        <w:jc w:val="both"/>
        <w:rPr>
          <w:rFonts w:asciiTheme="majorHAnsi" w:hAnsiTheme="majorHAnsi"/>
          <w:sz w:val="18"/>
          <w:szCs w:val="18"/>
        </w:rPr>
      </w:pPr>
      <w:r w:rsidRPr="00952B62">
        <w:rPr>
          <w:rFonts w:asciiTheme="majorHAnsi" w:hAnsiTheme="majorHAnsi"/>
          <w:sz w:val="18"/>
          <w:szCs w:val="18"/>
        </w:rPr>
        <w:t>Elszámolási sorrend az Üzletfél általi befizetések, a beszedések, illetve behajtások, az eszköz</w:t>
      </w:r>
      <w:r w:rsidR="00B62FA7" w:rsidRPr="00952B62">
        <w:rPr>
          <w:rFonts w:asciiTheme="majorHAnsi" w:hAnsiTheme="majorHAnsi"/>
          <w:sz w:val="18"/>
          <w:szCs w:val="18"/>
        </w:rPr>
        <w:t xml:space="preserve"> </w:t>
      </w:r>
      <w:r w:rsidRPr="00952B62">
        <w:rPr>
          <w:rFonts w:asciiTheme="majorHAnsi" w:hAnsiTheme="majorHAnsi"/>
          <w:sz w:val="18"/>
          <w:szCs w:val="18"/>
        </w:rPr>
        <w:t>visszavéte</w:t>
      </w:r>
      <w:r w:rsidR="00B62FA7" w:rsidRPr="00952B62">
        <w:rPr>
          <w:rFonts w:asciiTheme="majorHAnsi" w:hAnsiTheme="majorHAnsi"/>
          <w:sz w:val="18"/>
          <w:szCs w:val="18"/>
        </w:rPr>
        <w:t>l</w:t>
      </w:r>
      <w:r w:rsidRPr="00952B62">
        <w:rPr>
          <w:rFonts w:asciiTheme="majorHAnsi" w:hAnsiTheme="majorHAnsi"/>
          <w:sz w:val="18"/>
          <w:szCs w:val="18"/>
        </w:rPr>
        <w:t>ek, a biztosíték érvényesí</w:t>
      </w:r>
      <w:r w:rsidRPr="00952B62">
        <w:rPr>
          <w:rFonts w:asciiTheme="majorHAnsi" w:hAnsiTheme="majorHAnsi"/>
          <w:sz w:val="18"/>
          <w:szCs w:val="18"/>
        </w:rPr>
        <w:softHyphen/>
        <w:t xml:space="preserve">tések és a biztosítások, továbbá más jogcím alapján az AXON Pénzügyi és Lízing </w:t>
      </w:r>
      <w:r w:rsidR="00952B62">
        <w:rPr>
          <w:rFonts w:asciiTheme="majorHAnsi" w:hAnsiTheme="majorHAnsi"/>
          <w:sz w:val="18"/>
          <w:szCs w:val="18"/>
        </w:rPr>
        <w:t>Zrt.</w:t>
      </w:r>
      <w:r w:rsidRPr="00952B62">
        <w:rPr>
          <w:rFonts w:asciiTheme="majorHAnsi" w:hAnsiTheme="majorHAnsi"/>
          <w:sz w:val="18"/>
          <w:szCs w:val="18"/>
        </w:rPr>
        <w:t xml:space="preserve">-hez befolyó összegek, valamint az AXON Pénzügyi és Lízing </w:t>
      </w:r>
      <w:r w:rsidR="00952B62">
        <w:rPr>
          <w:rFonts w:asciiTheme="majorHAnsi" w:hAnsiTheme="majorHAnsi"/>
          <w:sz w:val="18"/>
          <w:szCs w:val="18"/>
        </w:rPr>
        <w:t>Zrt.</w:t>
      </w:r>
      <w:r w:rsidRPr="00952B62">
        <w:rPr>
          <w:rFonts w:asciiTheme="majorHAnsi" w:hAnsiTheme="majorHAnsi"/>
          <w:sz w:val="18"/>
          <w:szCs w:val="18"/>
        </w:rPr>
        <w:t xml:space="preserve"> és az Üzletfél közötti beszámítások tekintetében:</w:t>
      </w:r>
    </w:p>
    <w:p w:rsidR="00735941" w:rsidRPr="00952B62" w:rsidRDefault="00735941" w:rsidP="00BA2848">
      <w:pPr>
        <w:pStyle w:val="Bodytext160"/>
        <w:numPr>
          <w:ilvl w:val="0"/>
          <w:numId w:val="19"/>
        </w:numPr>
        <w:shd w:val="clear" w:color="auto" w:fill="auto"/>
        <w:tabs>
          <w:tab w:val="left" w:pos="308"/>
        </w:tabs>
        <w:spacing w:before="0" w:after="151" w:line="240" w:lineRule="auto"/>
        <w:rPr>
          <w:rFonts w:asciiTheme="majorHAnsi" w:hAnsiTheme="majorHAnsi"/>
          <w:sz w:val="18"/>
          <w:szCs w:val="18"/>
        </w:rPr>
      </w:pPr>
      <w:r w:rsidRPr="00952B62">
        <w:rPr>
          <w:rFonts w:asciiTheme="majorHAnsi" w:hAnsiTheme="majorHAnsi"/>
          <w:sz w:val="18"/>
          <w:szCs w:val="18"/>
        </w:rPr>
        <w:t>elsődlegesen a jogcímek alapján:</w:t>
      </w:r>
    </w:p>
    <w:p w:rsidR="00735941" w:rsidRPr="00952B62" w:rsidRDefault="00735941" w:rsidP="00BA2848">
      <w:pPr>
        <w:pStyle w:val="Bodytext150"/>
        <w:shd w:val="clear" w:color="auto" w:fill="auto"/>
        <w:spacing w:before="0" w:after="161" w:line="240" w:lineRule="auto"/>
        <w:ind w:left="1418" w:right="71" w:firstLine="709"/>
        <w:jc w:val="left"/>
        <w:rPr>
          <w:rFonts w:asciiTheme="majorHAnsi" w:hAnsiTheme="majorHAnsi"/>
          <w:sz w:val="18"/>
          <w:szCs w:val="18"/>
        </w:rPr>
      </w:pPr>
      <w:r w:rsidRPr="00952B62">
        <w:rPr>
          <w:rFonts w:asciiTheme="majorHAnsi" w:hAnsiTheme="majorHAnsi"/>
          <w:sz w:val="18"/>
          <w:szCs w:val="18"/>
        </w:rPr>
        <w:t>járulékok &gt; késedelmi kamatok &gt; ügyleti kamatok &gt; t</w:t>
      </w:r>
      <w:r w:rsidR="00705B35" w:rsidRPr="00952B62">
        <w:rPr>
          <w:rFonts w:asciiTheme="majorHAnsi" w:hAnsiTheme="majorHAnsi"/>
          <w:sz w:val="18"/>
          <w:szCs w:val="18"/>
        </w:rPr>
        <w:t>ő</w:t>
      </w:r>
      <w:r w:rsidRPr="00952B62">
        <w:rPr>
          <w:rFonts w:asciiTheme="majorHAnsi" w:hAnsiTheme="majorHAnsi"/>
          <w:sz w:val="18"/>
          <w:szCs w:val="18"/>
        </w:rPr>
        <w:t>kekövetelések;</w:t>
      </w:r>
    </w:p>
    <w:p w:rsidR="00735941" w:rsidRPr="00952B62" w:rsidRDefault="00735941" w:rsidP="00BA2848">
      <w:pPr>
        <w:pStyle w:val="Bodytext160"/>
        <w:numPr>
          <w:ilvl w:val="0"/>
          <w:numId w:val="19"/>
        </w:numPr>
        <w:shd w:val="clear" w:color="auto" w:fill="auto"/>
        <w:tabs>
          <w:tab w:val="left" w:pos="281"/>
        </w:tabs>
        <w:spacing w:before="0" w:after="197" w:line="240" w:lineRule="auto"/>
        <w:ind w:right="40"/>
        <w:jc w:val="left"/>
        <w:rPr>
          <w:rFonts w:asciiTheme="majorHAnsi" w:hAnsiTheme="majorHAnsi"/>
          <w:sz w:val="18"/>
          <w:szCs w:val="18"/>
        </w:rPr>
      </w:pPr>
      <w:r w:rsidRPr="00952B62">
        <w:rPr>
          <w:rFonts w:asciiTheme="majorHAnsi" w:hAnsiTheme="majorHAnsi"/>
          <w:sz w:val="18"/>
          <w:szCs w:val="18"/>
        </w:rPr>
        <w:t>másodlagosan a jogcímeken belül, az esedékesség alapján:</w:t>
      </w:r>
    </w:p>
    <w:p w:rsidR="00735941" w:rsidRPr="00952B62" w:rsidRDefault="00735941" w:rsidP="00BA2848">
      <w:pPr>
        <w:pStyle w:val="Bodytext150"/>
        <w:shd w:val="clear" w:color="auto" w:fill="auto"/>
        <w:spacing w:before="0" w:after="166" w:line="240" w:lineRule="auto"/>
        <w:ind w:right="40" w:firstLine="360"/>
        <w:jc w:val="center"/>
        <w:rPr>
          <w:rFonts w:asciiTheme="majorHAnsi" w:hAnsiTheme="majorHAnsi"/>
          <w:sz w:val="18"/>
          <w:szCs w:val="18"/>
        </w:rPr>
      </w:pPr>
      <w:r w:rsidRPr="00952B62">
        <w:rPr>
          <w:rFonts w:asciiTheme="majorHAnsi" w:hAnsiTheme="majorHAnsi"/>
          <w:sz w:val="18"/>
          <w:szCs w:val="18"/>
        </w:rPr>
        <w:t>korábbi időpontban esedékessé vált tételek &gt; későbbi időpontban esedékessé vált tételek.</w:t>
      </w:r>
    </w:p>
    <w:p w:rsidR="00735941" w:rsidRPr="00952B62" w:rsidRDefault="00735941" w:rsidP="00BA2848">
      <w:pPr>
        <w:pStyle w:val="Szvegtrzs1"/>
        <w:shd w:val="clear" w:color="auto" w:fill="auto"/>
        <w:spacing w:before="0" w:after="120" w:line="240" w:lineRule="auto"/>
        <w:ind w:right="40" w:firstLine="0"/>
        <w:jc w:val="both"/>
        <w:rPr>
          <w:rFonts w:asciiTheme="majorHAnsi" w:hAnsiTheme="majorHAnsi"/>
          <w:sz w:val="18"/>
          <w:szCs w:val="18"/>
        </w:rPr>
      </w:pPr>
      <w:r w:rsidRPr="00952B62">
        <w:rPr>
          <w:rFonts w:asciiTheme="majorHAnsi" w:hAnsiTheme="majorHAnsi"/>
          <w:sz w:val="18"/>
          <w:szCs w:val="18"/>
        </w:rPr>
        <w:t xml:space="preserve">Amennyiben az Üzletfélnek az AXON Pénzügyi és Lízing </w:t>
      </w:r>
      <w:r w:rsidR="00952B62">
        <w:rPr>
          <w:rFonts w:asciiTheme="majorHAnsi" w:hAnsiTheme="majorHAnsi"/>
          <w:sz w:val="18"/>
          <w:szCs w:val="18"/>
        </w:rPr>
        <w:t>Zrt.</w:t>
      </w:r>
      <w:r w:rsidRPr="00952B62">
        <w:rPr>
          <w:rFonts w:asciiTheme="majorHAnsi" w:hAnsiTheme="majorHAnsi"/>
          <w:sz w:val="18"/>
          <w:szCs w:val="18"/>
        </w:rPr>
        <w:t xml:space="preserve"> felé több ügylet vagy jogviszony alapján is fizetési kötelezettsége áll fenn, úgy a befolyások és beszámítások elszámolása az ügyletektől, illetve jogviszonyoktól függetlenül, a fenti preferencia alapján történhet.</w:t>
      </w:r>
    </w:p>
    <w:p w:rsidR="00735941" w:rsidRPr="00952B62" w:rsidRDefault="00735941" w:rsidP="00BA2848">
      <w:pPr>
        <w:pStyle w:val="Szvegtrzs1"/>
        <w:shd w:val="clear" w:color="auto" w:fill="auto"/>
        <w:spacing w:before="0" w:after="120" w:line="240" w:lineRule="auto"/>
        <w:ind w:right="40" w:firstLine="0"/>
        <w:jc w:val="both"/>
        <w:rPr>
          <w:rFonts w:asciiTheme="majorHAnsi" w:hAnsiTheme="majorHAnsi"/>
          <w:sz w:val="18"/>
          <w:szCs w:val="18"/>
        </w:rPr>
      </w:pPr>
      <w:r w:rsidRPr="00952B62">
        <w:rPr>
          <w:rFonts w:asciiTheme="majorHAnsi" w:hAnsiTheme="majorHAnsi"/>
          <w:sz w:val="18"/>
          <w:szCs w:val="18"/>
        </w:rPr>
        <w:t xml:space="preserve">Az AXON Pénzügyi és Lízing </w:t>
      </w:r>
      <w:r w:rsidR="00952B62">
        <w:rPr>
          <w:rFonts w:asciiTheme="majorHAnsi" w:hAnsiTheme="majorHAnsi"/>
          <w:sz w:val="18"/>
          <w:szCs w:val="18"/>
        </w:rPr>
        <w:t>Zrt.</w:t>
      </w:r>
      <w:r w:rsidRPr="00952B62">
        <w:rPr>
          <w:rFonts w:asciiTheme="majorHAnsi" w:hAnsiTheme="majorHAnsi"/>
          <w:sz w:val="18"/>
          <w:szCs w:val="18"/>
        </w:rPr>
        <w:t xml:space="preserve"> saját döntése alapján* illetve az Üzletféllel kötött megállapodása szerint a fenti elszámolási sorrendtől eltérő elszámolást is eszközölhet.</w:t>
      </w:r>
    </w:p>
    <w:p w:rsidR="00735941" w:rsidRPr="00952B62" w:rsidRDefault="00735941" w:rsidP="00BA2848">
      <w:pPr>
        <w:pStyle w:val="Szvegtrzs1"/>
        <w:shd w:val="clear" w:color="auto" w:fill="auto"/>
        <w:spacing w:before="0" w:after="120" w:line="240" w:lineRule="auto"/>
        <w:ind w:right="40" w:firstLine="0"/>
        <w:jc w:val="both"/>
        <w:rPr>
          <w:rFonts w:asciiTheme="majorHAnsi" w:hAnsiTheme="majorHAnsi"/>
          <w:sz w:val="18"/>
          <w:szCs w:val="18"/>
        </w:rPr>
      </w:pPr>
      <w:r w:rsidRPr="00952B62">
        <w:rPr>
          <w:rFonts w:asciiTheme="majorHAnsi" w:hAnsiTheme="majorHAnsi"/>
          <w:sz w:val="18"/>
          <w:szCs w:val="18"/>
        </w:rPr>
        <w:lastRenderedPageBreak/>
        <w:t xml:space="preserve">Az Üzletfél általi befizetések esetén, amennyiben az Üzletfél hivatkozása és a befizetett összeg teljes tekintetben egyezik az AXON Pénzügyi és Lízing </w:t>
      </w:r>
      <w:r w:rsidR="00952B62">
        <w:rPr>
          <w:rFonts w:asciiTheme="majorHAnsi" w:hAnsiTheme="majorHAnsi"/>
          <w:sz w:val="18"/>
          <w:szCs w:val="18"/>
        </w:rPr>
        <w:t>Zrt.</w:t>
      </w:r>
      <w:r w:rsidRPr="00952B62">
        <w:rPr>
          <w:rFonts w:asciiTheme="majorHAnsi" w:hAnsiTheme="majorHAnsi"/>
          <w:sz w:val="18"/>
          <w:szCs w:val="18"/>
        </w:rPr>
        <w:t xml:space="preserve"> könyveiben nyilvántartott hivatko</w:t>
      </w:r>
      <w:r w:rsidRPr="00952B62">
        <w:rPr>
          <w:rFonts w:asciiTheme="majorHAnsi" w:hAnsiTheme="majorHAnsi"/>
          <w:sz w:val="18"/>
          <w:szCs w:val="18"/>
        </w:rPr>
        <w:softHyphen/>
        <w:t xml:space="preserve">zott nyitott tétellel, az AXON Pénzügyi és Lízing </w:t>
      </w:r>
      <w:r w:rsidR="00952B62">
        <w:rPr>
          <w:rFonts w:asciiTheme="majorHAnsi" w:hAnsiTheme="majorHAnsi"/>
          <w:sz w:val="18"/>
          <w:szCs w:val="18"/>
        </w:rPr>
        <w:t>Zrt.</w:t>
      </w:r>
      <w:r w:rsidRPr="00952B62">
        <w:rPr>
          <w:rFonts w:asciiTheme="majorHAnsi" w:hAnsiTheme="majorHAnsi"/>
          <w:sz w:val="18"/>
          <w:szCs w:val="18"/>
        </w:rPr>
        <w:t xml:space="preserve"> a befizetett összeget az azzal megegyező nyitott tétel elszámolására könyvelheti.</w:t>
      </w:r>
    </w:p>
    <w:p w:rsidR="00735941" w:rsidRPr="00952B62" w:rsidRDefault="00735941" w:rsidP="00BA2848">
      <w:pPr>
        <w:pStyle w:val="Szvegtrzs1"/>
        <w:numPr>
          <w:ilvl w:val="0"/>
          <w:numId w:val="19"/>
        </w:numPr>
        <w:shd w:val="clear" w:color="auto" w:fill="auto"/>
        <w:tabs>
          <w:tab w:val="left" w:pos="308"/>
        </w:tabs>
        <w:spacing w:before="0" w:after="138" w:line="240" w:lineRule="auto"/>
        <w:ind w:left="0" w:right="40" w:firstLine="0"/>
        <w:jc w:val="both"/>
        <w:rPr>
          <w:rFonts w:asciiTheme="majorHAnsi" w:hAnsiTheme="majorHAnsi"/>
          <w:sz w:val="18"/>
          <w:szCs w:val="18"/>
        </w:rPr>
      </w:pPr>
      <w:r w:rsidRPr="00952B62">
        <w:rPr>
          <w:rFonts w:asciiTheme="majorHAnsi" w:hAnsiTheme="majorHAnsi"/>
          <w:sz w:val="18"/>
          <w:szCs w:val="18"/>
        </w:rPr>
        <w:t xml:space="preserve">Az AXON Pénzügyi és Lízing </w:t>
      </w:r>
      <w:r w:rsidR="00952B62">
        <w:rPr>
          <w:rFonts w:asciiTheme="majorHAnsi" w:hAnsiTheme="majorHAnsi"/>
          <w:sz w:val="18"/>
          <w:szCs w:val="18"/>
        </w:rPr>
        <w:t>Zrt.</w:t>
      </w:r>
      <w:r w:rsidRPr="00952B62">
        <w:rPr>
          <w:rFonts w:asciiTheme="majorHAnsi" w:hAnsiTheme="majorHAnsi"/>
          <w:sz w:val="18"/>
          <w:szCs w:val="18"/>
        </w:rPr>
        <w:t xml:space="preserve"> által megbízott biztosítási alkusz:</w:t>
      </w:r>
    </w:p>
    <w:p w:rsidR="00735941" w:rsidRPr="00952B62" w:rsidRDefault="00B62FA7" w:rsidP="00BA2848">
      <w:pPr>
        <w:widowControl w:val="0"/>
        <w:tabs>
          <w:tab w:val="left" w:pos="284"/>
        </w:tabs>
        <w:autoSpaceDE w:val="0"/>
        <w:autoSpaceDN w:val="0"/>
        <w:adjustRightInd w:val="0"/>
        <w:spacing w:after="120"/>
        <w:ind w:right="-5"/>
        <w:jc w:val="both"/>
        <w:rPr>
          <w:rFonts w:asciiTheme="majorHAnsi" w:hAnsiTheme="majorHAnsi" w:cs="ArialMT"/>
          <w:b/>
          <w:bCs/>
          <w:iCs/>
          <w:sz w:val="18"/>
          <w:szCs w:val="18"/>
        </w:rPr>
      </w:pPr>
      <w:r w:rsidRPr="00952B62">
        <w:rPr>
          <w:rFonts w:asciiTheme="majorHAnsi" w:hAnsiTheme="majorHAnsi" w:cs="ArialMT"/>
          <w:b/>
          <w:bCs/>
          <w:iCs/>
          <w:sz w:val="18"/>
          <w:szCs w:val="18"/>
        </w:rPr>
        <w:tab/>
      </w:r>
      <w:r w:rsidR="00BA2848" w:rsidRPr="00952B62">
        <w:rPr>
          <w:rFonts w:asciiTheme="majorHAnsi" w:hAnsiTheme="majorHAnsi" w:cs="ArialMT"/>
          <w:b/>
          <w:bCs/>
          <w:iCs/>
          <w:sz w:val="18"/>
          <w:szCs w:val="18"/>
        </w:rPr>
        <w:tab/>
      </w:r>
      <w:r w:rsidRPr="00952B62">
        <w:rPr>
          <w:rFonts w:asciiTheme="majorHAnsi" w:hAnsiTheme="majorHAnsi" w:cs="ArialMT"/>
          <w:b/>
          <w:bCs/>
          <w:iCs/>
          <w:sz w:val="18"/>
          <w:szCs w:val="18"/>
        </w:rPr>
        <w:tab/>
      </w:r>
      <w:r w:rsidR="00735941" w:rsidRPr="00952B62">
        <w:rPr>
          <w:rFonts w:asciiTheme="majorHAnsi" w:hAnsiTheme="majorHAnsi" w:cs="ArialMT"/>
          <w:b/>
          <w:bCs/>
          <w:iCs/>
          <w:sz w:val="18"/>
          <w:szCs w:val="18"/>
        </w:rPr>
        <w:t>Garantor 2000 Biztosítási Alkusz Kft.</w:t>
      </w:r>
    </w:p>
    <w:p w:rsidR="00735941" w:rsidRPr="00952B62" w:rsidRDefault="00735941" w:rsidP="00BA2848">
      <w:pPr>
        <w:widowControl w:val="0"/>
        <w:tabs>
          <w:tab w:val="left" w:pos="426"/>
        </w:tabs>
        <w:autoSpaceDE w:val="0"/>
        <w:autoSpaceDN w:val="0"/>
        <w:adjustRightInd w:val="0"/>
        <w:ind w:right="-5"/>
        <w:jc w:val="both"/>
        <w:rPr>
          <w:rFonts w:asciiTheme="majorHAnsi" w:hAnsiTheme="majorHAnsi" w:cs="ArialMT"/>
          <w:sz w:val="18"/>
          <w:szCs w:val="18"/>
        </w:rPr>
      </w:pPr>
      <w:r w:rsidRPr="00952B62">
        <w:rPr>
          <w:rFonts w:asciiTheme="majorHAnsi" w:hAnsiTheme="majorHAnsi" w:cs="ArialMT"/>
          <w:sz w:val="18"/>
          <w:szCs w:val="18"/>
        </w:rPr>
        <w:tab/>
      </w:r>
      <w:r w:rsidR="00B62FA7" w:rsidRPr="00952B62">
        <w:rPr>
          <w:rFonts w:asciiTheme="majorHAnsi" w:hAnsiTheme="majorHAnsi" w:cs="ArialMT"/>
          <w:sz w:val="18"/>
          <w:szCs w:val="18"/>
        </w:rPr>
        <w:tab/>
      </w:r>
      <w:r w:rsidR="00B62FA7" w:rsidRPr="00952B62">
        <w:rPr>
          <w:rFonts w:asciiTheme="majorHAnsi" w:hAnsiTheme="majorHAnsi" w:cs="ArialMT"/>
          <w:sz w:val="18"/>
          <w:szCs w:val="18"/>
        </w:rPr>
        <w:tab/>
      </w:r>
      <w:r w:rsidRPr="00952B62">
        <w:rPr>
          <w:rFonts w:asciiTheme="majorHAnsi" w:hAnsiTheme="majorHAnsi" w:cs="ArialMT"/>
          <w:sz w:val="18"/>
          <w:szCs w:val="18"/>
        </w:rPr>
        <w:t>2740 Abony, Nagykőrösi utca 61/C.</w:t>
      </w:r>
    </w:p>
    <w:p w:rsidR="00735941" w:rsidRPr="00952B62" w:rsidRDefault="00735941" w:rsidP="00BA2848">
      <w:pPr>
        <w:widowControl w:val="0"/>
        <w:tabs>
          <w:tab w:val="left" w:pos="426"/>
        </w:tabs>
        <w:autoSpaceDE w:val="0"/>
        <w:autoSpaceDN w:val="0"/>
        <w:adjustRightInd w:val="0"/>
        <w:spacing w:before="60"/>
        <w:ind w:right="-5"/>
        <w:jc w:val="both"/>
        <w:rPr>
          <w:rFonts w:asciiTheme="majorHAnsi" w:hAnsiTheme="majorHAnsi" w:cs="ArialMT"/>
          <w:sz w:val="18"/>
          <w:szCs w:val="18"/>
        </w:rPr>
      </w:pPr>
      <w:r w:rsidRPr="00952B62">
        <w:rPr>
          <w:rFonts w:asciiTheme="majorHAnsi" w:hAnsiTheme="majorHAnsi" w:cs="ArialMT"/>
          <w:sz w:val="18"/>
          <w:szCs w:val="18"/>
        </w:rPr>
        <w:tab/>
      </w:r>
      <w:r w:rsidR="00B62FA7" w:rsidRPr="00952B62">
        <w:rPr>
          <w:rFonts w:asciiTheme="majorHAnsi" w:hAnsiTheme="majorHAnsi" w:cs="ArialMT"/>
          <w:sz w:val="18"/>
          <w:szCs w:val="18"/>
        </w:rPr>
        <w:tab/>
      </w:r>
      <w:r w:rsidR="00B62FA7" w:rsidRPr="00952B62">
        <w:rPr>
          <w:rFonts w:asciiTheme="majorHAnsi" w:hAnsiTheme="majorHAnsi" w:cs="ArialMT"/>
          <w:sz w:val="18"/>
          <w:szCs w:val="18"/>
        </w:rPr>
        <w:tab/>
      </w:r>
      <w:r w:rsidRPr="00952B62">
        <w:rPr>
          <w:rFonts w:asciiTheme="majorHAnsi" w:hAnsiTheme="majorHAnsi" w:cs="ArialMT"/>
          <w:sz w:val="18"/>
          <w:szCs w:val="18"/>
        </w:rPr>
        <w:t>Fióktelep</w:t>
      </w:r>
      <w:r w:rsidRPr="00952B62">
        <w:rPr>
          <w:rFonts w:asciiTheme="majorHAnsi" w:hAnsiTheme="majorHAnsi" w:cs="ArialMT"/>
          <w:sz w:val="18"/>
          <w:szCs w:val="18"/>
        </w:rPr>
        <w:tab/>
        <w:t xml:space="preserve"> : 5000 Szolnok, Rákóczi út 6.</w:t>
      </w:r>
    </w:p>
    <w:p w:rsidR="00735941" w:rsidRPr="00952B62" w:rsidRDefault="00735941" w:rsidP="00BA2848">
      <w:pPr>
        <w:widowControl w:val="0"/>
        <w:tabs>
          <w:tab w:val="left" w:pos="426"/>
        </w:tabs>
        <w:autoSpaceDE w:val="0"/>
        <w:autoSpaceDN w:val="0"/>
        <w:adjustRightInd w:val="0"/>
        <w:spacing w:before="60"/>
        <w:ind w:right="-5"/>
        <w:jc w:val="both"/>
        <w:rPr>
          <w:rFonts w:asciiTheme="majorHAnsi" w:hAnsiTheme="majorHAnsi" w:cs="ArialMT"/>
          <w:sz w:val="18"/>
          <w:szCs w:val="18"/>
        </w:rPr>
      </w:pPr>
      <w:r w:rsidRPr="00952B62">
        <w:rPr>
          <w:rFonts w:asciiTheme="majorHAnsi" w:hAnsiTheme="majorHAnsi" w:cs="ArialMT"/>
          <w:sz w:val="18"/>
          <w:szCs w:val="18"/>
        </w:rPr>
        <w:tab/>
      </w:r>
      <w:r w:rsidR="00B62FA7" w:rsidRPr="00952B62">
        <w:rPr>
          <w:rFonts w:asciiTheme="majorHAnsi" w:hAnsiTheme="majorHAnsi" w:cs="ArialMT"/>
          <w:sz w:val="18"/>
          <w:szCs w:val="18"/>
        </w:rPr>
        <w:tab/>
      </w:r>
      <w:r w:rsidR="00B62FA7" w:rsidRPr="00952B62">
        <w:rPr>
          <w:rFonts w:asciiTheme="majorHAnsi" w:hAnsiTheme="majorHAnsi" w:cs="ArialMT"/>
          <w:sz w:val="18"/>
          <w:szCs w:val="18"/>
        </w:rPr>
        <w:tab/>
      </w:r>
      <w:r w:rsidRPr="00952B62">
        <w:rPr>
          <w:rFonts w:asciiTheme="majorHAnsi" w:hAnsiTheme="majorHAnsi" w:cs="ArialMT"/>
          <w:sz w:val="18"/>
          <w:szCs w:val="18"/>
        </w:rPr>
        <w:t>Telefon</w:t>
      </w:r>
      <w:r w:rsidRPr="00952B62">
        <w:rPr>
          <w:rFonts w:asciiTheme="majorHAnsi" w:hAnsiTheme="majorHAnsi" w:cs="ArialMT"/>
          <w:sz w:val="18"/>
          <w:szCs w:val="18"/>
        </w:rPr>
        <w:tab/>
        <w:t xml:space="preserve"> : +36 56 / 513-151</w:t>
      </w:r>
    </w:p>
    <w:p w:rsidR="00735941" w:rsidRPr="00952B62" w:rsidRDefault="00735941" w:rsidP="00BA2848">
      <w:pPr>
        <w:widowControl w:val="0"/>
        <w:tabs>
          <w:tab w:val="left" w:pos="426"/>
        </w:tabs>
        <w:autoSpaceDE w:val="0"/>
        <w:autoSpaceDN w:val="0"/>
        <w:adjustRightInd w:val="0"/>
        <w:ind w:right="-5"/>
        <w:jc w:val="both"/>
        <w:rPr>
          <w:rFonts w:asciiTheme="majorHAnsi" w:hAnsiTheme="majorHAnsi" w:cs="ArialMT"/>
          <w:bCs/>
          <w:sz w:val="18"/>
          <w:szCs w:val="18"/>
        </w:rPr>
      </w:pPr>
      <w:r w:rsidRPr="00952B62">
        <w:rPr>
          <w:rFonts w:asciiTheme="majorHAnsi" w:hAnsiTheme="majorHAnsi" w:cs="ArialMT"/>
          <w:b/>
          <w:bCs/>
          <w:sz w:val="18"/>
          <w:szCs w:val="18"/>
        </w:rPr>
        <w:tab/>
      </w:r>
      <w:r w:rsidR="00B62FA7" w:rsidRPr="00952B62">
        <w:rPr>
          <w:rFonts w:asciiTheme="majorHAnsi" w:hAnsiTheme="majorHAnsi" w:cs="ArialMT"/>
          <w:b/>
          <w:bCs/>
          <w:sz w:val="18"/>
          <w:szCs w:val="18"/>
        </w:rPr>
        <w:tab/>
      </w:r>
      <w:r w:rsidR="00B62FA7" w:rsidRPr="00952B62">
        <w:rPr>
          <w:rFonts w:asciiTheme="majorHAnsi" w:hAnsiTheme="majorHAnsi" w:cs="ArialMT"/>
          <w:b/>
          <w:bCs/>
          <w:sz w:val="18"/>
          <w:szCs w:val="18"/>
        </w:rPr>
        <w:tab/>
      </w:r>
      <w:r w:rsidRPr="00952B62">
        <w:rPr>
          <w:rFonts w:asciiTheme="majorHAnsi" w:hAnsiTheme="majorHAnsi" w:cs="ArialMT"/>
          <w:bCs/>
          <w:sz w:val="18"/>
          <w:szCs w:val="18"/>
        </w:rPr>
        <w:t>Fax</w:t>
      </w:r>
      <w:r w:rsidRPr="00952B62">
        <w:rPr>
          <w:rFonts w:asciiTheme="majorHAnsi" w:hAnsiTheme="majorHAnsi" w:cs="ArialMT"/>
          <w:bCs/>
          <w:sz w:val="18"/>
          <w:szCs w:val="18"/>
        </w:rPr>
        <w:tab/>
        <w:t xml:space="preserve"> : + 36 56 /426-624</w:t>
      </w:r>
    </w:p>
    <w:p w:rsidR="00735941" w:rsidRPr="00952B62" w:rsidRDefault="00735941" w:rsidP="00BA2848">
      <w:pPr>
        <w:pStyle w:val="Bodytext150"/>
        <w:shd w:val="clear" w:color="auto" w:fill="auto"/>
        <w:spacing w:before="0" w:after="0" w:line="240" w:lineRule="auto"/>
        <w:ind w:right="780" w:firstLine="0"/>
        <w:jc w:val="left"/>
        <w:rPr>
          <w:rFonts w:asciiTheme="majorHAnsi" w:hAnsiTheme="majorHAnsi"/>
          <w:sz w:val="18"/>
          <w:szCs w:val="18"/>
        </w:rPr>
      </w:pPr>
    </w:p>
    <w:p w:rsidR="00735941" w:rsidRPr="00952B62" w:rsidRDefault="00735941" w:rsidP="00BA2848">
      <w:pPr>
        <w:pStyle w:val="Szvegtrzs1"/>
        <w:shd w:val="clear" w:color="auto" w:fill="auto"/>
        <w:spacing w:before="0" w:after="138" w:line="240" w:lineRule="auto"/>
        <w:ind w:right="20" w:firstLine="0"/>
        <w:jc w:val="both"/>
        <w:rPr>
          <w:rFonts w:asciiTheme="majorHAnsi" w:hAnsiTheme="majorHAnsi"/>
          <w:sz w:val="18"/>
          <w:szCs w:val="18"/>
        </w:rPr>
      </w:pPr>
      <w:r w:rsidRPr="00952B62">
        <w:rPr>
          <w:rFonts w:asciiTheme="majorHAnsi" w:hAnsiTheme="majorHAnsi"/>
          <w:sz w:val="18"/>
          <w:szCs w:val="18"/>
        </w:rPr>
        <w:t xml:space="preserve">11. Az Üzletfél biztosítási díjra vonatkozó fizetési kötelezettségének megszegése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által a kötelezett helyett teljesített biztosítási díjak, illetve az AXON Pénzügyi és Lízing </w:t>
      </w:r>
      <w:r w:rsidR="00952B62">
        <w:rPr>
          <w:rFonts w:asciiTheme="majorHAnsi" w:hAnsiTheme="majorHAnsi"/>
          <w:sz w:val="18"/>
          <w:szCs w:val="18"/>
        </w:rPr>
        <w:t>Zrt.</w:t>
      </w:r>
      <w:r w:rsidRPr="00952B62">
        <w:rPr>
          <w:rFonts w:asciiTheme="majorHAnsi" w:hAnsiTheme="majorHAnsi"/>
          <w:sz w:val="18"/>
          <w:szCs w:val="18"/>
        </w:rPr>
        <w:t xml:space="preserve"> által a biztosítási díjat teljesítő személytől megvásárolt Üzletféllel szembeni követelések alapján felszámítható kezelési díj:</w:t>
      </w:r>
      <w:r w:rsidR="00BA2848" w:rsidRPr="00952B62">
        <w:rPr>
          <w:rFonts w:asciiTheme="majorHAnsi" w:hAnsiTheme="majorHAnsi"/>
          <w:sz w:val="18"/>
          <w:szCs w:val="18"/>
        </w:rPr>
        <w:t xml:space="preserve"> </w:t>
      </w:r>
      <w:r w:rsidRPr="00952B62">
        <w:rPr>
          <w:rFonts w:asciiTheme="majorHAnsi" w:hAnsiTheme="majorHAnsi"/>
          <w:sz w:val="18"/>
          <w:szCs w:val="18"/>
        </w:rPr>
        <w:t>a megfizetett összeg 50%-a, de maximum</w:t>
      </w:r>
      <w:r w:rsidR="00B62FA7" w:rsidRPr="00952B62">
        <w:rPr>
          <w:rFonts w:asciiTheme="majorHAnsi" w:hAnsiTheme="majorHAnsi"/>
          <w:sz w:val="18"/>
          <w:szCs w:val="18"/>
        </w:rPr>
        <w:t xml:space="preserve"> </w:t>
      </w:r>
      <w:r w:rsidRPr="00952B62">
        <w:rPr>
          <w:rFonts w:asciiTheme="majorHAnsi" w:hAnsiTheme="majorHAnsi"/>
          <w:sz w:val="18"/>
          <w:szCs w:val="18"/>
        </w:rPr>
        <w:t>25.000,- Ft.</w:t>
      </w:r>
    </w:p>
    <w:p w:rsidR="00B62FA7" w:rsidRPr="00952B62" w:rsidRDefault="00B62FA7" w:rsidP="00BA2848">
      <w:pPr>
        <w:pStyle w:val="Bodytext150"/>
        <w:shd w:val="clear" w:color="auto" w:fill="auto"/>
        <w:spacing w:before="0" w:after="0" w:line="240" w:lineRule="auto"/>
        <w:ind w:left="709" w:firstLine="709"/>
        <w:rPr>
          <w:rFonts w:asciiTheme="majorHAnsi" w:hAnsiTheme="majorHAnsi"/>
          <w:sz w:val="18"/>
          <w:szCs w:val="18"/>
        </w:rPr>
      </w:pPr>
    </w:p>
    <w:p w:rsidR="00735941" w:rsidRPr="00952B62" w:rsidRDefault="00BA2848" w:rsidP="004D5AE3">
      <w:pPr>
        <w:pStyle w:val="Bodytext150"/>
        <w:shd w:val="clear" w:color="auto" w:fill="auto"/>
        <w:spacing w:before="0" w:after="457" w:line="240" w:lineRule="auto"/>
        <w:ind w:firstLine="0"/>
        <w:rPr>
          <w:rFonts w:asciiTheme="majorHAnsi" w:hAnsiTheme="majorHAnsi"/>
          <w:b/>
          <w:sz w:val="18"/>
          <w:szCs w:val="18"/>
        </w:rPr>
      </w:pPr>
      <w:r w:rsidRPr="00952B62">
        <w:rPr>
          <w:rFonts w:asciiTheme="majorHAnsi" w:hAnsiTheme="majorHAnsi"/>
          <w:b/>
          <w:sz w:val="18"/>
          <w:szCs w:val="18"/>
        </w:rPr>
        <w:t>I</w:t>
      </w:r>
      <w:r w:rsidR="00735941" w:rsidRPr="00952B62">
        <w:rPr>
          <w:rFonts w:asciiTheme="majorHAnsi" w:hAnsiTheme="majorHAnsi"/>
          <w:b/>
          <w:sz w:val="18"/>
          <w:szCs w:val="18"/>
        </w:rPr>
        <w:t>I. PÉNZÜGYI LÍZINGHEZ KAPCSOLÓDÓ FELTÉTELEKÉS RENDELKEZÉSEK</w:t>
      </w:r>
    </w:p>
    <w:p w:rsidR="00735941" w:rsidRPr="00952B62" w:rsidRDefault="00735941" w:rsidP="004D5AE3">
      <w:pPr>
        <w:pStyle w:val="Bodytext150"/>
        <w:shd w:val="clear" w:color="auto" w:fill="auto"/>
        <w:spacing w:before="0" w:after="457" w:line="240" w:lineRule="auto"/>
        <w:ind w:firstLine="0"/>
        <w:rPr>
          <w:rFonts w:asciiTheme="majorHAnsi" w:hAnsiTheme="majorHAnsi"/>
          <w:sz w:val="18"/>
          <w:szCs w:val="18"/>
        </w:rPr>
      </w:pPr>
      <w:r w:rsidRPr="00952B62">
        <w:rPr>
          <w:rFonts w:asciiTheme="majorHAnsi" w:hAnsiTheme="majorHAnsi"/>
          <w:sz w:val="18"/>
          <w:szCs w:val="18"/>
        </w:rPr>
        <w:t xml:space="preserve">Pénzügyi lízingügyletek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egyszeri</w:t>
      </w:r>
      <w:r w:rsidRPr="00952B62">
        <w:rPr>
          <w:rStyle w:val="BodytextItalic"/>
          <w:rFonts w:asciiTheme="majorHAnsi" w:hAnsiTheme="majorHAnsi"/>
          <w:sz w:val="18"/>
          <w:szCs w:val="18"/>
        </w:rPr>
        <w:t xml:space="preserve"> hitelbírálati díjat</w:t>
      </w:r>
      <w:r w:rsidRPr="00952B62">
        <w:rPr>
          <w:rFonts w:asciiTheme="majorHAnsi" w:hAnsiTheme="majorHAnsi"/>
          <w:sz w:val="18"/>
          <w:szCs w:val="18"/>
        </w:rPr>
        <w:t xml:space="preserve"> és egyszeri </w:t>
      </w:r>
      <w:r w:rsidRPr="00952B62">
        <w:rPr>
          <w:rStyle w:val="BodytextItalic"/>
          <w:rFonts w:asciiTheme="majorHAnsi" w:hAnsiTheme="majorHAnsi"/>
          <w:sz w:val="18"/>
          <w:szCs w:val="18"/>
        </w:rPr>
        <w:t>kezelési díjat</w:t>
      </w:r>
      <w:r w:rsidRPr="00952B62">
        <w:rPr>
          <w:rFonts w:asciiTheme="majorHAnsi" w:hAnsiTheme="majorHAnsi"/>
          <w:sz w:val="18"/>
          <w:szCs w:val="18"/>
        </w:rPr>
        <w:t xml:space="preserve"> számíthat fel, melyek mértéke egyedileg kerül meghatározásra.</w:t>
      </w:r>
    </w:p>
    <w:p w:rsidR="00735941" w:rsidRPr="00952B62" w:rsidRDefault="00735941" w:rsidP="00BA2848">
      <w:pPr>
        <w:pStyle w:val="Szvegtrzs1"/>
        <w:numPr>
          <w:ilvl w:val="0"/>
          <w:numId w:val="6"/>
        </w:numPr>
        <w:shd w:val="clear" w:color="auto" w:fill="auto"/>
        <w:tabs>
          <w:tab w:val="left" w:pos="301"/>
        </w:tabs>
        <w:spacing w:before="0" w:after="112" w:line="240" w:lineRule="auto"/>
        <w:ind w:right="20" w:firstLine="0"/>
        <w:jc w:val="both"/>
        <w:rPr>
          <w:rFonts w:asciiTheme="majorHAnsi" w:hAnsiTheme="majorHAnsi"/>
          <w:sz w:val="18"/>
          <w:szCs w:val="18"/>
        </w:rPr>
      </w:pPr>
      <w:r w:rsidRPr="00952B62">
        <w:rPr>
          <w:rFonts w:asciiTheme="majorHAnsi" w:hAnsiTheme="majorHAnsi"/>
          <w:sz w:val="18"/>
          <w:szCs w:val="18"/>
        </w:rPr>
        <w:t>A Lízingbevevő fizetési kötelezettségeinek hiánytalan teljesítés esetén a tulajdonjog átvezetéséhez szükséges okiratok AXON Pénzügyi és L</w:t>
      </w:r>
      <w:r w:rsidR="00B62FA7" w:rsidRPr="00952B62">
        <w:rPr>
          <w:rFonts w:asciiTheme="majorHAnsi" w:hAnsiTheme="majorHAnsi"/>
          <w:sz w:val="18"/>
          <w:szCs w:val="18"/>
        </w:rPr>
        <w:t>í</w:t>
      </w:r>
      <w:r w:rsidRPr="00952B62">
        <w:rPr>
          <w:rFonts w:asciiTheme="majorHAnsi" w:hAnsiTheme="majorHAnsi"/>
          <w:sz w:val="18"/>
          <w:szCs w:val="18"/>
        </w:rPr>
        <w:t xml:space="preserve">zing </w:t>
      </w:r>
      <w:r w:rsidR="00952B62">
        <w:rPr>
          <w:rFonts w:asciiTheme="majorHAnsi" w:hAnsiTheme="majorHAnsi"/>
          <w:sz w:val="18"/>
          <w:szCs w:val="18"/>
        </w:rPr>
        <w:t>Zrt.</w:t>
      </w:r>
      <w:r w:rsidRPr="00952B62">
        <w:rPr>
          <w:rFonts w:asciiTheme="majorHAnsi" w:hAnsiTheme="majorHAnsi"/>
          <w:sz w:val="18"/>
          <w:szCs w:val="18"/>
        </w:rPr>
        <w:t xml:space="preserve"> Lízingbeadó általi kiadásának határideje:</w:t>
      </w:r>
      <w:r w:rsidR="00B62FA7" w:rsidRPr="00952B62">
        <w:rPr>
          <w:rFonts w:asciiTheme="majorHAnsi" w:hAnsiTheme="majorHAnsi"/>
          <w:sz w:val="18"/>
          <w:szCs w:val="18"/>
        </w:rPr>
        <w:t xml:space="preserve"> </w:t>
      </w:r>
      <w:r w:rsidRPr="00952B62">
        <w:rPr>
          <w:rFonts w:asciiTheme="majorHAnsi" w:hAnsiTheme="majorHAnsi"/>
          <w:sz w:val="18"/>
          <w:szCs w:val="18"/>
        </w:rPr>
        <w:t>a hiánytalan teljesítés napját követő 15 munka</w:t>
      </w:r>
      <w:r w:rsidRPr="00952B62">
        <w:rPr>
          <w:rFonts w:asciiTheme="majorHAnsi" w:hAnsiTheme="majorHAnsi"/>
          <w:sz w:val="18"/>
          <w:szCs w:val="18"/>
        </w:rPr>
        <w:softHyphen/>
        <w:t>nap.</w:t>
      </w:r>
    </w:p>
    <w:p w:rsidR="00735941" w:rsidRPr="00952B62" w:rsidRDefault="00735941" w:rsidP="00BA2848">
      <w:pPr>
        <w:pStyle w:val="Szvegtrzs1"/>
        <w:numPr>
          <w:ilvl w:val="0"/>
          <w:numId w:val="6"/>
        </w:numPr>
        <w:shd w:val="clear" w:color="auto" w:fill="auto"/>
        <w:tabs>
          <w:tab w:val="left" w:pos="301"/>
        </w:tabs>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t xml:space="preserve">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elállási joga a Lízingbevevő által a lízingelt eszköz átadás</w:t>
      </w:r>
      <w:r w:rsidRPr="00952B62">
        <w:rPr>
          <w:rFonts w:asciiTheme="majorHAnsi" w:hAnsiTheme="majorHAnsi"/>
          <w:sz w:val="18"/>
          <w:szCs w:val="18"/>
        </w:rPr>
        <w:softHyphen/>
      </w:r>
      <w:r w:rsidR="00B62FA7" w:rsidRPr="00952B62">
        <w:rPr>
          <w:rFonts w:asciiTheme="majorHAnsi" w:hAnsiTheme="majorHAnsi"/>
          <w:sz w:val="18"/>
          <w:szCs w:val="18"/>
        </w:rPr>
        <w:t>-</w:t>
      </w:r>
      <w:r w:rsidRPr="00952B62">
        <w:rPr>
          <w:rFonts w:asciiTheme="majorHAnsi" w:hAnsiTheme="majorHAnsi"/>
          <w:sz w:val="18"/>
          <w:szCs w:val="18"/>
        </w:rPr>
        <w:t>átvétele előtt fizetendő összegek 5 napos késedelme esetén áll be.</w:t>
      </w:r>
    </w:p>
    <w:p w:rsidR="00735941" w:rsidRPr="00952B62" w:rsidRDefault="00735941" w:rsidP="00BA2848">
      <w:pPr>
        <w:pStyle w:val="Szvegtrzs1"/>
        <w:numPr>
          <w:ilvl w:val="0"/>
          <w:numId w:val="6"/>
        </w:numPr>
        <w:shd w:val="clear" w:color="auto" w:fill="auto"/>
        <w:tabs>
          <w:tab w:val="left" w:pos="322"/>
        </w:tabs>
        <w:spacing w:before="0" w:after="109" w:line="240" w:lineRule="auto"/>
        <w:ind w:right="20" w:firstLine="0"/>
        <w:jc w:val="both"/>
        <w:rPr>
          <w:rFonts w:asciiTheme="majorHAnsi" w:hAnsiTheme="majorHAnsi"/>
          <w:sz w:val="18"/>
          <w:szCs w:val="18"/>
        </w:rPr>
      </w:pPr>
      <w:r w:rsidRPr="00952B62">
        <w:rPr>
          <w:rFonts w:asciiTheme="majorHAnsi" w:hAnsiTheme="majorHAnsi"/>
          <w:sz w:val="18"/>
          <w:szCs w:val="18"/>
        </w:rPr>
        <w:t>Pénzügyi lízingügyletek esetén felszá</w:t>
      </w:r>
      <w:r w:rsidRPr="00952B62">
        <w:rPr>
          <w:rFonts w:asciiTheme="majorHAnsi" w:hAnsiTheme="majorHAnsi"/>
          <w:sz w:val="18"/>
          <w:szCs w:val="18"/>
        </w:rPr>
        <w:softHyphen/>
        <w:t>mítható szerződésmódosítási díj mértéke:</w:t>
      </w:r>
      <w:r w:rsidR="00B62FA7" w:rsidRPr="00952B62">
        <w:rPr>
          <w:rFonts w:asciiTheme="majorHAnsi" w:hAnsiTheme="majorHAnsi"/>
          <w:sz w:val="18"/>
          <w:szCs w:val="18"/>
        </w:rPr>
        <w:t xml:space="preserve"> </w:t>
      </w:r>
      <w:r w:rsidRPr="00952B62">
        <w:rPr>
          <w:rFonts w:asciiTheme="majorHAnsi" w:hAnsiTheme="majorHAnsi"/>
          <w:sz w:val="18"/>
          <w:szCs w:val="18"/>
        </w:rPr>
        <w:t>az esedékességkor meg nem fizetett tőkekö</w:t>
      </w:r>
      <w:r w:rsidRPr="00952B62">
        <w:rPr>
          <w:rFonts w:asciiTheme="majorHAnsi" w:hAnsiTheme="majorHAnsi"/>
          <w:sz w:val="18"/>
          <w:szCs w:val="18"/>
        </w:rPr>
        <w:softHyphen/>
        <w:t>vetelés, valamint a jövőben esedékessé váló tőkekövetelés és az arra számított árfolyamkü</w:t>
      </w:r>
      <w:r w:rsidRPr="00952B62">
        <w:rPr>
          <w:rFonts w:asciiTheme="majorHAnsi" w:hAnsiTheme="majorHAnsi"/>
          <w:sz w:val="18"/>
          <w:szCs w:val="18"/>
        </w:rPr>
        <w:softHyphen/>
        <w:t>lönbség együttes összegének 5%-a.</w:t>
      </w:r>
    </w:p>
    <w:p w:rsidR="00735941" w:rsidRPr="00952B62" w:rsidRDefault="00735941" w:rsidP="00BA2848">
      <w:pPr>
        <w:pStyle w:val="Szvegtrzs1"/>
        <w:numPr>
          <w:ilvl w:val="0"/>
          <w:numId w:val="6"/>
        </w:numPr>
        <w:shd w:val="clear" w:color="auto" w:fill="auto"/>
        <w:tabs>
          <w:tab w:val="left" w:pos="319"/>
        </w:tabs>
        <w:spacing w:before="0" w:after="132" w:line="240" w:lineRule="auto"/>
        <w:ind w:right="20" w:firstLine="0"/>
        <w:jc w:val="both"/>
        <w:rPr>
          <w:rFonts w:asciiTheme="majorHAnsi" w:hAnsiTheme="majorHAnsi"/>
          <w:sz w:val="18"/>
          <w:szCs w:val="18"/>
        </w:rPr>
      </w:pPr>
      <w:r w:rsidRPr="00952B62">
        <w:rPr>
          <w:rFonts w:asciiTheme="majorHAnsi" w:hAnsiTheme="majorHAnsi"/>
          <w:sz w:val="18"/>
          <w:szCs w:val="18"/>
        </w:rPr>
        <w:t xml:space="preserve">Pénzügyi lízingügyletek tekintetében az AXON Pénügyi és Lízing </w:t>
      </w:r>
      <w:r w:rsidR="00952B62">
        <w:rPr>
          <w:rFonts w:asciiTheme="majorHAnsi" w:hAnsiTheme="majorHAnsi"/>
          <w:sz w:val="18"/>
          <w:szCs w:val="18"/>
        </w:rPr>
        <w:t>Zrt.</w:t>
      </w:r>
      <w:r w:rsidRPr="00952B62">
        <w:rPr>
          <w:rFonts w:asciiTheme="majorHAnsi" w:hAnsiTheme="majorHAnsi"/>
          <w:sz w:val="18"/>
          <w:szCs w:val="18"/>
        </w:rPr>
        <w:t xml:space="preserve"> Lízingbeadó részéről a</w:t>
      </w:r>
      <w:r w:rsidRPr="00952B62">
        <w:rPr>
          <w:rStyle w:val="BodytextItalic"/>
          <w:rFonts w:asciiTheme="majorHAnsi" w:hAnsiTheme="majorHAnsi"/>
          <w:sz w:val="18"/>
          <w:szCs w:val="18"/>
        </w:rPr>
        <w:t xml:space="preserve"> referencia kamatláb változása</w:t>
      </w:r>
      <w:r w:rsidRPr="00952B62">
        <w:rPr>
          <w:rFonts w:asciiTheme="majorHAnsi" w:hAnsiTheme="majorHAnsi"/>
          <w:sz w:val="18"/>
          <w:szCs w:val="18"/>
        </w:rPr>
        <w:t xml:space="preserve"> miatt történő egyoldalú kamatmódosítás esetén az időarányos kamatszámítások az alábbiak szerint történnek:</w:t>
      </w:r>
    </w:p>
    <w:p w:rsidR="00735941" w:rsidRPr="00952B62" w:rsidRDefault="00735941" w:rsidP="00BA2848">
      <w:pPr>
        <w:pStyle w:val="Bodytext160"/>
        <w:shd w:val="clear" w:color="auto" w:fill="auto"/>
        <w:spacing w:before="0" w:after="123" w:line="240" w:lineRule="auto"/>
        <w:ind w:right="20" w:firstLine="0"/>
        <w:rPr>
          <w:rFonts w:asciiTheme="majorHAnsi" w:hAnsiTheme="majorHAnsi"/>
          <w:sz w:val="18"/>
          <w:szCs w:val="18"/>
        </w:rPr>
      </w:pPr>
      <w:r w:rsidRPr="00952B62">
        <w:rPr>
          <w:rStyle w:val="Bodytext16Bold"/>
          <w:rFonts w:asciiTheme="majorHAnsi" w:hAnsiTheme="majorHAnsi"/>
          <w:sz w:val="18"/>
          <w:szCs w:val="18"/>
        </w:rPr>
        <w:t>módosított ügyleti kamat</w:t>
      </w:r>
      <w:r w:rsidRPr="00952B62">
        <w:rPr>
          <w:rFonts w:asciiTheme="majorHAnsi" w:hAnsiTheme="majorHAnsi"/>
          <w:sz w:val="18"/>
          <w:szCs w:val="18"/>
        </w:rPr>
        <w:t xml:space="preserve"> = aktuálisan fennál</w:t>
      </w:r>
      <w:r w:rsidRPr="00952B62">
        <w:rPr>
          <w:rFonts w:asciiTheme="majorHAnsi" w:hAnsiTheme="majorHAnsi"/>
          <w:sz w:val="18"/>
          <w:szCs w:val="18"/>
        </w:rPr>
        <w:softHyphen/>
        <w:t>ló tőkeösszeg * (érvényben lévő ügyleti kamat</w:t>
      </w:r>
      <w:r w:rsidRPr="00952B62">
        <w:rPr>
          <w:rFonts w:asciiTheme="majorHAnsi" w:hAnsiTheme="majorHAnsi"/>
          <w:sz w:val="18"/>
          <w:szCs w:val="18"/>
        </w:rPr>
        <w:softHyphen/>
        <w:t>láb ± referencia kamatláb változása) * előző kamatesedékesség óta eltelt naptári napok száma/360, ahol</w:t>
      </w:r>
    </w:p>
    <w:p w:rsidR="00735941" w:rsidRPr="00952B62" w:rsidRDefault="00735941" w:rsidP="00BA2848">
      <w:pPr>
        <w:pStyle w:val="Bodytext160"/>
        <w:shd w:val="clear" w:color="auto" w:fill="auto"/>
        <w:spacing w:before="0" w:line="240" w:lineRule="auto"/>
        <w:ind w:right="20" w:firstLine="0"/>
        <w:rPr>
          <w:rFonts w:asciiTheme="majorHAnsi" w:hAnsiTheme="majorHAnsi"/>
          <w:sz w:val="18"/>
          <w:szCs w:val="18"/>
        </w:rPr>
      </w:pPr>
      <w:r w:rsidRPr="00952B62">
        <w:rPr>
          <w:rStyle w:val="Bodytext16Bold"/>
          <w:rFonts w:asciiTheme="majorHAnsi" w:hAnsiTheme="majorHAnsi"/>
          <w:sz w:val="18"/>
          <w:szCs w:val="18"/>
        </w:rPr>
        <w:t>aktuálisan fennálló tőkeösszeg</w:t>
      </w:r>
      <w:r w:rsidRPr="00952B62">
        <w:rPr>
          <w:rStyle w:val="Bodytext16NotItalic"/>
          <w:rFonts w:asciiTheme="majorHAnsi" w:hAnsiTheme="majorHAnsi"/>
          <w:sz w:val="18"/>
          <w:szCs w:val="18"/>
        </w:rPr>
        <w:t xml:space="preserve"> =</w:t>
      </w:r>
      <w:r w:rsidRPr="00952B62">
        <w:rPr>
          <w:rFonts w:asciiTheme="majorHAnsi" w:hAnsiTheme="majorHAnsi"/>
          <w:sz w:val="18"/>
          <w:szCs w:val="18"/>
        </w:rPr>
        <w:t xml:space="preserve"> az aktuáli</w:t>
      </w:r>
      <w:r w:rsidRPr="00952B62">
        <w:rPr>
          <w:rFonts w:asciiTheme="majorHAnsi" w:hAnsiTheme="majorHAnsi"/>
          <w:sz w:val="18"/>
          <w:szCs w:val="18"/>
        </w:rPr>
        <w:softHyphen/>
        <w:t>san érvényben lévő fizetési</w:t>
      </w:r>
      <w:r w:rsidRPr="00952B62">
        <w:rPr>
          <w:rStyle w:val="Bodytext16NotItalic"/>
          <w:rFonts w:asciiTheme="majorHAnsi" w:hAnsiTheme="majorHAnsi"/>
          <w:sz w:val="18"/>
          <w:szCs w:val="18"/>
        </w:rPr>
        <w:t xml:space="preserve"> ütemezés</w:t>
      </w:r>
      <w:r w:rsidRPr="00952B62">
        <w:rPr>
          <w:rFonts w:asciiTheme="majorHAnsi" w:hAnsiTheme="majorHAnsi"/>
          <w:sz w:val="18"/>
          <w:szCs w:val="18"/>
        </w:rPr>
        <w:t xml:space="preserve"> szerint a jövőben esedékessé váló teljes tőkeösszeg;</w:t>
      </w:r>
    </w:p>
    <w:p w:rsidR="00735941" w:rsidRPr="00952B62" w:rsidRDefault="00735941" w:rsidP="00BA2848">
      <w:pPr>
        <w:pStyle w:val="Bodytext160"/>
        <w:shd w:val="clear" w:color="auto" w:fill="auto"/>
        <w:spacing w:before="0" w:line="240" w:lineRule="auto"/>
        <w:ind w:right="20" w:firstLine="0"/>
        <w:rPr>
          <w:rFonts w:asciiTheme="majorHAnsi" w:hAnsiTheme="majorHAnsi"/>
          <w:sz w:val="18"/>
          <w:szCs w:val="18"/>
        </w:rPr>
      </w:pPr>
      <w:r w:rsidRPr="00952B62">
        <w:rPr>
          <w:rStyle w:val="Bodytext16Bold"/>
          <w:rFonts w:asciiTheme="majorHAnsi" w:hAnsiTheme="majorHAnsi"/>
          <w:sz w:val="18"/>
          <w:szCs w:val="18"/>
        </w:rPr>
        <w:t>érvényben lévő ügyleti kamatláb</w:t>
      </w:r>
      <w:r w:rsidRPr="00952B62">
        <w:rPr>
          <w:rFonts w:asciiTheme="majorHAnsi" w:hAnsiTheme="majorHAnsi"/>
          <w:sz w:val="18"/>
          <w:szCs w:val="18"/>
        </w:rPr>
        <w:t xml:space="preserve"> ~ az érvény</w:t>
      </w:r>
      <w:r w:rsidRPr="00952B62">
        <w:rPr>
          <w:rFonts w:asciiTheme="majorHAnsi" w:hAnsiTheme="majorHAnsi"/>
          <w:sz w:val="18"/>
          <w:szCs w:val="18"/>
        </w:rPr>
        <w:softHyphen/>
        <w:t>ben lévő fizetési ütemezés szerint; az aktuálisan következő esedékességkor</w:t>
      </w:r>
      <w:r w:rsidRPr="00952B62">
        <w:rPr>
          <w:rStyle w:val="Bodytext16NotItalic"/>
          <w:rFonts w:asciiTheme="majorHAnsi" w:hAnsiTheme="majorHAnsi"/>
          <w:sz w:val="18"/>
          <w:szCs w:val="18"/>
        </w:rPr>
        <w:t xml:space="preserve"> és</w:t>
      </w:r>
      <w:r w:rsidRPr="00952B62">
        <w:rPr>
          <w:rFonts w:asciiTheme="majorHAnsi" w:hAnsiTheme="majorHAnsi"/>
          <w:sz w:val="18"/>
          <w:szCs w:val="18"/>
        </w:rPr>
        <w:t xml:space="preserve"> azt követően fizetendő együttes tőkeösszeg (aktuálisan fennálló tőkeösszeg), valamint az aktuálisan következő esedékességkor fizetendő ügyleti kamat összege és az előző esedékesség napjától az aktuálisan következő esedékesség napját megelőző napig eltelő naptári napok száma alapján, az Üzlet</w:t>
      </w:r>
      <w:r w:rsidRPr="00952B62">
        <w:rPr>
          <w:rFonts w:asciiTheme="majorHAnsi" w:hAnsiTheme="majorHAnsi"/>
          <w:sz w:val="18"/>
          <w:szCs w:val="18"/>
        </w:rPr>
        <w:softHyphen/>
        <w:t>szabályzatban meghatározott képlet szerint, éves %-ban kiszámítható finanszírozási kamat</w:t>
      </w:r>
      <w:r w:rsidRPr="00952B62">
        <w:rPr>
          <w:rFonts w:asciiTheme="majorHAnsi" w:hAnsiTheme="majorHAnsi"/>
          <w:sz w:val="18"/>
          <w:szCs w:val="18"/>
        </w:rPr>
        <w:softHyphen/>
        <w:t>láb;</w:t>
      </w:r>
    </w:p>
    <w:p w:rsidR="00735941" w:rsidRPr="00952B62" w:rsidRDefault="00735941" w:rsidP="00BA2848">
      <w:pPr>
        <w:pStyle w:val="Bodytext160"/>
        <w:shd w:val="clear" w:color="auto" w:fill="auto"/>
        <w:spacing w:before="0" w:line="240" w:lineRule="auto"/>
        <w:ind w:right="20" w:firstLine="0"/>
        <w:rPr>
          <w:rFonts w:asciiTheme="majorHAnsi" w:hAnsiTheme="majorHAnsi"/>
          <w:sz w:val="18"/>
          <w:szCs w:val="18"/>
        </w:rPr>
      </w:pPr>
      <w:r w:rsidRPr="00952B62">
        <w:rPr>
          <w:rStyle w:val="Bodytext16Bold"/>
          <w:rFonts w:asciiTheme="majorHAnsi" w:hAnsiTheme="majorHAnsi"/>
          <w:sz w:val="18"/>
          <w:szCs w:val="18"/>
        </w:rPr>
        <w:t>referencia kamatláb változása</w:t>
      </w:r>
      <w:r w:rsidRPr="00952B62">
        <w:rPr>
          <w:rFonts w:asciiTheme="majorHAnsi" w:hAnsiTheme="majorHAnsi"/>
          <w:sz w:val="18"/>
          <w:szCs w:val="18"/>
        </w:rPr>
        <w:t xml:space="preserve"> (±%-pont) = a tárgynegyedév első értéknapjára közzétett referencia kamatláb mínusz az érvényben lévő referencia kamatláb;</w:t>
      </w:r>
    </w:p>
    <w:p w:rsidR="00735941" w:rsidRPr="00952B62" w:rsidRDefault="00735941" w:rsidP="00BA2848">
      <w:pPr>
        <w:pStyle w:val="Bodytext160"/>
        <w:shd w:val="clear" w:color="auto" w:fill="auto"/>
        <w:spacing w:before="0" w:after="127" w:line="240" w:lineRule="auto"/>
        <w:ind w:right="20" w:firstLine="0"/>
        <w:rPr>
          <w:rFonts w:asciiTheme="majorHAnsi" w:hAnsiTheme="majorHAnsi"/>
          <w:sz w:val="18"/>
          <w:szCs w:val="18"/>
        </w:rPr>
      </w:pPr>
      <w:r w:rsidRPr="00952B62">
        <w:rPr>
          <w:rStyle w:val="Bodytext16Bold"/>
          <w:rFonts w:asciiTheme="majorHAnsi" w:hAnsiTheme="majorHAnsi"/>
          <w:sz w:val="18"/>
          <w:szCs w:val="18"/>
        </w:rPr>
        <w:t>referencia kamatláb</w:t>
      </w:r>
      <w:r w:rsidRPr="00952B62">
        <w:rPr>
          <w:rFonts w:asciiTheme="majorHAnsi" w:hAnsiTheme="majorHAnsi"/>
          <w:sz w:val="18"/>
          <w:szCs w:val="18"/>
        </w:rPr>
        <w:t xml:space="preserve"> = a szerződés Alapdevi</w:t>
      </w:r>
      <w:r w:rsidRPr="00952B62">
        <w:rPr>
          <w:rFonts w:asciiTheme="majorHAnsi" w:hAnsiTheme="majorHAnsi"/>
          <w:sz w:val="18"/>
          <w:szCs w:val="18"/>
        </w:rPr>
        <w:softHyphen/>
        <w:t>zanemének devizájára vonatkozóan minden naptári tárgynegyedév első értéknapjára közzé</w:t>
      </w:r>
      <w:r w:rsidRPr="00952B62">
        <w:rPr>
          <w:rFonts w:asciiTheme="majorHAnsi" w:hAnsiTheme="majorHAnsi"/>
          <w:sz w:val="18"/>
          <w:szCs w:val="18"/>
        </w:rPr>
        <w:softHyphen/>
        <w:t>tett 3 hónapos hivatalos bankközi eladási kamatláb, ahol</w:t>
      </w:r>
    </w:p>
    <w:p w:rsidR="00735941" w:rsidRPr="00952B62" w:rsidRDefault="00735941" w:rsidP="00BA2848">
      <w:pPr>
        <w:pStyle w:val="Bodytext120"/>
        <w:shd w:val="clear" w:color="auto" w:fill="auto"/>
        <w:spacing w:line="240" w:lineRule="auto"/>
        <w:ind w:firstLine="0"/>
        <w:jc w:val="both"/>
        <w:rPr>
          <w:rFonts w:asciiTheme="majorHAnsi" w:hAnsiTheme="majorHAnsi"/>
          <w:sz w:val="18"/>
          <w:szCs w:val="18"/>
        </w:rPr>
      </w:pPr>
      <w:r w:rsidRPr="00952B62">
        <w:rPr>
          <w:rFonts w:asciiTheme="majorHAnsi" w:hAnsiTheme="majorHAnsi"/>
          <w:sz w:val="18"/>
          <w:szCs w:val="18"/>
        </w:rPr>
        <w:t>hivatalos bankközi eladási kamatláb =</w:t>
      </w:r>
    </w:p>
    <w:p w:rsidR="00735941" w:rsidRPr="00952B62" w:rsidRDefault="00735941" w:rsidP="00BA2848">
      <w:pPr>
        <w:pStyle w:val="Bodytext120"/>
        <w:shd w:val="clear" w:color="auto" w:fill="auto"/>
        <w:spacing w:line="240" w:lineRule="auto"/>
        <w:ind w:firstLine="0"/>
        <w:jc w:val="both"/>
        <w:rPr>
          <w:rFonts w:asciiTheme="majorHAnsi" w:hAnsiTheme="majorHAnsi"/>
          <w:sz w:val="18"/>
          <w:szCs w:val="18"/>
        </w:rPr>
      </w:pPr>
    </w:p>
    <w:p w:rsidR="00735941" w:rsidRPr="00952B62" w:rsidRDefault="00735941" w:rsidP="00BA2848">
      <w:pPr>
        <w:pStyle w:val="Bodytext160"/>
        <w:numPr>
          <w:ilvl w:val="0"/>
          <w:numId w:val="7"/>
        </w:numPr>
        <w:shd w:val="clear" w:color="auto" w:fill="auto"/>
        <w:tabs>
          <w:tab w:val="left" w:pos="451"/>
        </w:tabs>
        <w:spacing w:before="0" w:after="60" w:line="240" w:lineRule="auto"/>
        <w:ind w:right="40" w:firstLine="0"/>
        <w:rPr>
          <w:rFonts w:asciiTheme="majorHAnsi" w:hAnsiTheme="majorHAnsi"/>
          <w:sz w:val="18"/>
          <w:szCs w:val="18"/>
        </w:rPr>
      </w:pPr>
      <w:r w:rsidRPr="00952B62">
        <w:rPr>
          <w:rStyle w:val="Bodytext16Bold"/>
          <w:rFonts w:asciiTheme="majorHAnsi" w:hAnsiTheme="majorHAnsi"/>
          <w:sz w:val="18"/>
          <w:szCs w:val="18"/>
        </w:rPr>
        <w:t>BUBOR,</w:t>
      </w:r>
      <w:r w:rsidRPr="00952B62">
        <w:rPr>
          <w:rFonts w:asciiTheme="majorHAnsi" w:hAnsiTheme="majorHAnsi"/>
          <w:sz w:val="18"/>
          <w:szCs w:val="18"/>
        </w:rPr>
        <w:t xml:space="preserve"> amely HUF Alapdevizanem esetén minden kamatperiódusra nézve az a legköze</w:t>
      </w:r>
      <w:r w:rsidRPr="00952B62">
        <w:rPr>
          <w:rFonts w:asciiTheme="majorHAnsi" w:hAnsiTheme="majorHAnsi"/>
          <w:sz w:val="18"/>
          <w:szCs w:val="18"/>
        </w:rPr>
        <w:softHyphen/>
        <w:t>lebbi két tizedes jegyre fölkerekített bankközi eladási kamatláb, melyet a fenti jegyzési napot megelőző második magyar banki napon a Magyar Nemzeti Bank az aktív kamatjegyz</w:t>
      </w:r>
      <w:r w:rsidR="00B62FA7" w:rsidRPr="00952B62">
        <w:rPr>
          <w:rFonts w:asciiTheme="majorHAnsi" w:hAnsiTheme="majorHAnsi"/>
          <w:sz w:val="18"/>
          <w:szCs w:val="18"/>
        </w:rPr>
        <w:t>ő</w:t>
      </w:r>
      <w:r w:rsidRPr="00952B62">
        <w:rPr>
          <w:rFonts w:asciiTheme="majorHAnsi" w:hAnsiTheme="majorHAnsi"/>
          <w:sz w:val="18"/>
          <w:szCs w:val="18"/>
        </w:rPr>
        <w:t xml:space="preserve"> bankok ajánlataiból számít és tesz közzé budapesti idő szerint 11:00 órakor, a Reuters terminál "BUBOR" oldalán;</w:t>
      </w:r>
    </w:p>
    <w:p w:rsidR="00735941" w:rsidRPr="00952B62" w:rsidRDefault="00735941" w:rsidP="00BA2848">
      <w:pPr>
        <w:pStyle w:val="Bodytext160"/>
        <w:numPr>
          <w:ilvl w:val="0"/>
          <w:numId w:val="7"/>
        </w:numPr>
        <w:shd w:val="clear" w:color="auto" w:fill="auto"/>
        <w:tabs>
          <w:tab w:val="left" w:pos="451"/>
        </w:tabs>
        <w:spacing w:before="0" w:after="57" w:line="240" w:lineRule="auto"/>
        <w:ind w:right="40" w:firstLine="0"/>
        <w:rPr>
          <w:rFonts w:asciiTheme="majorHAnsi" w:hAnsiTheme="majorHAnsi"/>
          <w:sz w:val="18"/>
          <w:szCs w:val="18"/>
        </w:rPr>
      </w:pPr>
      <w:r w:rsidRPr="00952B62">
        <w:rPr>
          <w:rStyle w:val="Bodytext16Bold"/>
          <w:rFonts w:asciiTheme="majorHAnsi" w:hAnsiTheme="majorHAnsi"/>
          <w:sz w:val="18"/>
          <w:szCs w:val="18"/>
        </w:rPr>
        <w:t>EURIBOR,</w:t>
      </w:r>
      <w:r w:rsidRPr="00952B62">
        <w:rPr>
          <w:rFonts w:asciiTheme="majorHAnsi" w:hAnsiTheme="majorHAnsi"/>
          <w:sz w:val="18"/>
          <w:szCs w:val="18"/>
        </w:rPr>
        <w:t xml:space="preserve"> amely EUR (€) Alapdevizanem esetén minden kamatperiódusra nézve az a legközelebbi két tizedes jegyre fölkerekített bankközi eladási kamatláb, melyet két TARGET nappal a fenti jegyzési napot megelőzően a 3 hónapos futamidőre elhelye</w:t>
      </w:r>
      <w:r w:rsidRPr="00952B62">
        <w:rPr>
          <w:rFonts w:asciiTheme="majorHAnsi" w:hAnsiTheme="majorHAnsi"/>
          <w:sz w:val="18"/>
          <w:szCs w:val="18"/>
        </w:rPr>
        <w:softHyphen/>
        <w:t>zett euró betétekre jegyeznek, brüsszeli Idő szerint 11:00 órakor, a Reuters terminál "EURIBOR" oldalán; ahol</w:t>
      </w:r>
    </w:p>
    <w:p w:rsidR="00735941" w:rsidRPr="00952B62" w:rsidRDefault="00735941" w:rsidP="00BA2848">
      <w:pPr>
        <w:pStyle w:val="Bodytext160"/>
        <w:shd w:val="clear" w:color="auto" w:fill="auto"/>
        <w:spacing w:before="0" w:after="63" w:line="240" w:lineRule="auto"/>
        <w:ind w:right="40" w:firstLine="0"/>
        <w:rPr>
          <w:rFonts w:asciiTheme="majorHAnsi" w:hAnsiTheme="majorHAnsi"/>
          <w:sz w:val="18"/>
          <w:szCs w:val="18"/>
        </w:rPr>
      </w:pPr>
      <w:r w:rsidRPr="00952B62">
        <w:rPr>
          <w:rFonts w:asciiTheme="majorHAnsi" w:hAnsiTheme="majorHAnsi"/>
          <w:sz w:val="18"/>
          <w:szCs w:val="18"/>
        </w:rPr>
        <w:lastRenderedPageBreak/>
        <w:t>a TARGET nap jelenti az euróban történő fizetések Trans-European Automated Real- time Gross Settlement Express Transfer System alapján történő elszámolásának napját;</w:t>
      </w:r>
    </w:p>
    <w:p w:rsidR="00735941" w:rsidRPr="00952B62" w:rsidRDefault="00735941" w:rsidP="00BA2848">
      <w:pPr>
        <w:pStyle w:val="Bodytext160"/>
        <w:numPr>
          <w:ilvl w:val="0"/>
          <w:numId w:val="7"/>
        </w:numPr>
        <w:shd w:val="clear" w:color="auto" w:fill="auto"/>
        <w:tabs>
          <w:tab w:val="left" w:pos="451"/>
        </w:tabs>
        <w:spacing w:before="0" w:after="60" w:line="240" w:lineRule="auto"/>
        <w:ind w:right="40" w:firstLine="0"/>
        <w:rPr>
          <w:rFonts w:asciiTheme="majorHAnsi" w:hAnsiTheme="majorHAnsi"/>
          <w:sz w:val="18"/>
          <w:szCs w:val="18"/>
        </w:rPr>
      </w:pPr>
      <w:r w:rsidRPr="00952B62">
        <w:rPr>
          <w:rStyle w:val="Bodytext16Bold"/>
          <w:rFonts w:asciiTheme="majorHAnsi" w:hAnsiTheme="majorHAnsi"/>
          <w:sz w:val="18"/>
          <w:szCs w:val="18"/>
        </w:rPr>
        <w:t>UBOR,</w:t>
      </w:r>
      <w:r w:rsidRPr="00952B62">
        <w:rPr>
          <w:rFonts w:asciiTheme="majorHAnsi" w:hAnsiTheme="majorHAnsi"/>
          <w:sz w:val="18"/>
          <w:szCs w:val="18"/>
        </w:rPr>
        <w:t xml:space="preserve"> amely egyéb Alapdevizanem esetén minden kamatperiódusra nézve az a legközelebbi két tizedes jegyre fölkerekített bankközi eladási kamatláb, melyet két nappal a fenti jegyzési napot megelőzően, 3 hónapos idő-tartamra meghatároznak, londoni idő szerint 11:00 órakor, a Reuters terminál Money Rate Service "UBO" elnevezésű oldalán.</w:t>
      </w:r>
    </w:p>
    <w:p w:rsidR="00735941" w:rsidRPr="00952B62" w:rsidRDefault="00735941" w:rsidP="00BA2848">
      <w:pPr>
        <w:pStyle w:val="Bodytext160"/>
        <w:shd w:val="clear" w:color="auto" w:fill="auto"/>
        <w:spacing w:before="0" w:after="169" w:line="240" w:lineRule="auto"/>
        <w:ind w:right="40" w:firstLine="0"/>
        <w:rPr>
          <w:rFonts w:asciiTheme="majorHAnsi" w:hAnsiTheme="majorHAnsi"/>
          <w:sz w:val="18"/>
          <w:szCs w:val="18"/>
        </w:rPr>
      </w:pPr>
      <w:r w:rsidRPr="00952B62">
        <w:rPr>
          <w:rFonts w:asciiTheme="majorHAnsi" w:hAnsiTheme="majorHAnsi"/>
          <w:sz w:val="18"/>
          <w:szCs w:val="18"/>
        </w:rPr>
        <w:t>A szerződés, illetve a Felek a fentiektől eltérő referencia kamatláb meghatározást is rögzíthet</w:t>
      </w:r>
      <w:r w:rsidRPr="00952B62">
        <w:rPr>
          <w:rFonts w:asciiTheme="majorHAnsi" w:hAnsiTheme="majorHAnsi"/>
          <w:sz w:val="18"/>
          <w:szCs w:val="18"/>
        </w:rPr>
        <w:softHyphen/>
        <w:t>nek.</w:t>
      </w:r>
    </w:p>
    <w:p w:rsidR="00735941" w:rsidRPr="00952B62" w:rsidRDefault="00735941" w:rsidP="00BA2848">
      <w:pPr>
        <w:pStyle w:val="Szvegtrzs1"/>
        <w:shd w:val="clear" w:color="auto" w:fill="auto"/>
        <w:spacing w:before="0" w:after="60" w:line="240" w:lineRule="auto"/>
        <w:ind w:right="40" w:firstLine="0"/>
        <w:jc w:val="both"/>
        <w:rPr>
          <w:rFonts w:asciiTheme="majorHAnsi" w:hAnsiTheme="majorHAnsi"/>
          <w:sz w:val="18"/>
          <w:szCs w:val="18"/>
        </w:rPr>
      </w:pPr>
      <w:r w:rsidRPr="00952B62">
        <w:rPr>
          <w:rFonts w:asciiTheme="majorHAnsi" w:hAnsiTheme="majorHAnsi"/>
          <w:sz w:val="18"/>
          <w:szCs w:val="18"/>
        </w:rPr>
        <w:t xml:space="preserve">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a fentiek alapján csak abban az esetben módosítja az ügyleti kamatot, ha a referencia kamatláb változása a</w:t>
      </w:r>
      <w:r w:rsidRPr="00952B62">
        <w:rPr>
          <w:rStyle w:val="BodytextBoldItalic"/>
          <w:rFonts w:asciiTheme="majorHAnsi" w:hAnsiTheme="majorHAnsi"/>
          <w:sz w:val="18"/>
          <w:szCs w:val="18"/>
        </w:rPr>
        <w:t xml:space="preserve"> 0,1%-pontot</w:t>
      </w:r>
      <w:r w:rsidRPr="00952B62">
        <w:rPr>
          <w:rFonts w:asciiTheme="majorHAnsi" w:hAnsiTheme="majorHAnsi"/>
          <w:sz w:val="18"/>
          <w:szCs w:val="18"/>
        </w:rPr>
        <w:t xml:space="preserve"> eléri vagy azt megha</w:t>
      </w:r>
      <w:r w:rsidRPr="00952B62">
        <w:rPr>
          <w:rFonts w:asciiTheme="majorHAnsi" w:hAnsiTheme="majorHAnsi"/>
          <w:sz w:val="18"/>
          <w:szCs w:val="18"/>
        </w:rPr>
        <w:softHyphen/>
        <w:t>ladja.</w:t>
      </w:r>
    </w:p>
    <w:p w:rsidR="00735941" w:rsidRPr="00952B62" w:rsidRDefault="00735941" w:rsidP="00BA2848">
      <w:pPr>
        <w:pStyle w:val="Szvegtrzs1"/>
        <w:shd w:val="clear" w:color="auto" w:fill="auto"/>
        <w:spacing w:before="0" w:after="180" w:line="240" w:lineRule="auto"/>
        <w:ind w:right="40" w:firstLine="0"/>
        <w:jc w:val="both"/>
        <w:rPr>
          <w:rFonts w:asciiTheme="majorHAnsi" w:hAnsiTheme="majorHAnsi"/>
          <w:sz w:val="18"/>
          <w:szCs w:val="18"/>
        </w:rPr>
      </w:pPr>
      <w:r w:rsidRPr="00952B62">
        <w:rPr>
          <w:rFonts w:asciiTheme="majorHAnsi" w:hAnsiTheme="majorHAnsi"/>
          <w:sz w:val="18"/>
          <w:szCs w:val="18"/>
        </w:rPr>
        <w:t xml:space="preserve">Amennyiben a Lízingbevevőnek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felé bármely jogcímen lejárt és esedékes tartozása vagy fizetési köte</w:t>
      </w:r>
      <w:r w:rsidRPr="00952B62">
        <w:rPr>
          <w:rFonts w:asciiTheme="majorHAnsi" w:hAnsiTheme="majorHAnsi"/>
          <w:sz w:val="18"/>
          <w:szCs w:val="18"/>
        </w:rPr>
        <w:softHyphen/>
        <w:t>lezettsége áll fenn, úgy a fentiek alapján a Lízingbevevő számára kedvező kamatváltozta</w:t>
      </w:r>
      <w:r w:rsidRPr="00952B62">
        <w:rPr>
          <w:rFonts w:asciiTheme="majorHAnsi" w:hAnsiTheme="majorHAnsi"/>
          <w:sz w:val="18"/>
          <w:szCs w:val="18"/>
        </w:rPr>
        <w:softHyphen/>
        <w:t xml:space="preserve">tásra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döntése alapján kerülhet sor.</w:t>
      </w:r>
    </w:p>
    <w:p w:rsidR="00735941" w:rsidRPr="00952B62" w:rsidRDefault="00735941" w:rsidP="00BA2848">
      <w:pPr>
        <w:pStyle w:val="Szvegtrzs1"/>
        <w:numPr>
          <w:ilvl w:val="1"/>
          <w:numId w:val="7"/>
        </w:numPr>
        <w:shd w:val="clear" w:color="auto" w:fill="auto"/>
        <w:tabs>
          <w:tab w:val="left" w:pos="322"/>
        </w:tabs>
        <w:spacing w:before="0" w:after="60" w:line="240" w:lineRule="auto"/>
        <w:ind w:right="40" w:firstLine="0"/>
        <w:jc w:val="both"/>
        <w:rPr>
          <w:rFonts w:asciiTheme="majorHAnsi" w:hAnsiTheme="majorHAnsi"/>
          <w:sz w:val="18"/>
          <w:szCs w:val="18"/>
        </w:rPr>
      </w:pPr>
      <w:r w:rsidRPr="00952B62">
        <w:rPr>
          <w:rFonts w:asciiTheme="majorHAnsi" w:hAnsiTheme="majorHAnsi"/>
          <w:sz w:val="18"/>
          <w:szCs w:val="18"/>
        </w:rPr>
        <w:t xml:space="preserve">Pénzügyi lízingügyletek tekintetében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által érvényesített egyoldalú kamatváltoztatás a referencia kamat</w:t>
      </w:r>
      <w:r w:rsidRPr="00952B62">
        <w:rPr>
          <w:rFonts w:asciiTheme="majorHAnsi" w:hAnsiTheme="majorHAnsi"/>
          <w:sz w:val="18"/>
          <w:szCs w:val="18"/>
        </w:rPr>
        <w:softHyphen/>
        <w:t>láb értéknapja tárgyhónapjának e</w:t>
      </w:r>
      <w:r w:rsidR="00B62FA7" w:rsidRPr="00952B62">
        <w:rPr>
          <w:rFonts w:asciiTheme="majorHAnsi" w:hAnsiTheme="majorHAnsi"/>
          <w:sz w:val="18"/>
          <w:szCs w:val="18"/>
        </w:rPr>
        <w:t>l</w:t>
      </w:r>
      <w:r w:rsidRPr="00952B62">
        <w:rPr>
          <w:rFonts w:asciiTheme="majorHAnsi" w:hAnsiTheme="majorHAnsi"/>
          <w:sz w:val="18"/>
          <w:szCs w:val="18"/>
        </w:rPr>
        <w:t>ső napjával lép hatályba. A szerződés ettől eltérő hatályba lépést is meghatározhat.</w:t>
      </w:r>
    </w:p>
    <w:p w:rsidR="00735941" w:rsidRPr="00952B62" w:rsidRDefault="00735941" w:rsidP="00BA2848">
      <w:pPr>
        <w:pStyle w:val="Szvegtrzs1"/>
        <w:numPr>
          <w:ilvl w:val="1"/>
          <w:numId w:val="7"/>
        </w:numPr>
        <w:shd w:val="clear" w:color="auto" w:fill="auto"/>
        <w:tabs>
          <w:tab w:val="left" w:pos="322"/>
        </w:tabs>
        <w:spacing w:before="0" w:after="69" w:line="240" w:lineRule="auto"/>
        <w:ind w:right="40" w:firstLine="0"/>
        <w:jc w:val="both"/>
        <w:rPr>
          <w:rFonts w:asciiTheme="majorHAnsi" w:hAnsiTheme="majorHAnsi"/>
          <w:sz w:val="18"/>
          <w:szCs w:val="18"/>
        </w:rPr>
      </w:pPr>
      <w:r w:rsidRPr="00952B62">
        <w:rPr>
          <w:rFonts w:asciiTheme="majorHAnsi" w:hAnsiTheme="majorHAnsi"/>
          <w:sz w:val="18"/>
          <w:szCs w:val="18"/>
        </w:rPr>
        <w:t xml:space="preserve">Pénzügyi lízingügyletek tekintetében, eltérő </w:t>
      </w:r>
      <w:r w:rsidRPr="00952B62">
        <w:rPr>
          <w:rStyle w:val="BodytextItalic"/>
          <w:rFonts w:asciiTheme="majorHAnsi" w:hAnsiTheme="majorHAnsi"/>
          <w:sz w:val="18"/>
          <w:szCs w:val="18"/>
        </w:rPr>
        <w:t>Alapdevizanem</w:t>
      </w:r>
      <w:r w:rsidRPr="00952B62">
        <w:rPr>
          <w:rFonts w:asciiTheme="majorHAnsi" w:hAnsiTheme="majorHAnsi"/>
          <w:sz w:val="18"/>
          <w:szCs w:val="18"/>
        </w:rPr>
        <w:t xml:space="preserve"> és</w:t>
      </w:r>
      <w:r w:rsidRPr="00952B62">
        <w:rPr>
          <w:rStyle w:val="BodytextItalic"/>
          <w:rFonts w:asciiTheme="majorHAnsi" w:hAnsiTheme="majorHAnsi"/>
          <w:sz w:val="18"/>
          <w:szCs w:val="18"/>
        </w:rPr>
        <w:t xml:space="preserve"> Számlázási devizanem</w:t>
      </w:r>
      <w:r w:rsidRPr="00952B62">
        <w:rPr>
          <w:rFonts w:asciiTheme="majorHAnsi" w:hAnsiTheme="majorHAnsi"/>
          <w:sz w:val="18"/>
          <w:szCs w:val="18"/>
        </w:rPr>
        <w:t xml:space="preserve"> ese</w:t>
      </w:r>
      <w:r w:rsidRPr="00952B62">
        <w:rPr>
          <w:rFonts w:asciiTheme="majorHAnsi" w:hAnsiTheme="majorHAnsi"/>
          <w:sz w:val="18"/>
          <w:szCs w:val="18"/>
        </w:rPr>
        <w:softHyphen/>
        <w:t>tén irányadó</w:t>
      </w:r>
      <w:r w:rsidRPr="00952B62">
        <w:rPr>
          <w:rStyle w:val="BodytextItalic"/>
          <w:rFonts w:asciiTheme="majorHAnsi" w:hAnsiTheme="majorHAnsi"/>
          <w:sz w:val="18"/>
          <w:szCs w:val="18"/>
        </w:rPr>
        <w:t xml:space="preserve"> kötéskori árfolyam</w:t>
      </w:r>
      <w:r w:rsidRPr="00952B62">
        <w:rPr>
          <w:rFonts w:asciiTheme="majorHAnsi" w:hAnsiTheme="majorHAnsi"/>
          <w:sz w:val="18"/>
          <w:szCs w:val="18"/>
        </w:rPr>
        <w:t xml:space="preserve"> meghatározása</w:t>
      </w:r>
    </w:p>
    <w:p w:rsidR="00735941" w:rsidRPr="00952B62" w:rsidRDefault="00735941" w:rsidP="00BA2848">
      <w:pPr>
        <w:pStyle w:val="Bodytext160"/>
        <w:shd w:val="clear" w:color="auto" w:fill="auto"/>
        <w:spacing w:before="0" w:after="60" w:line="240" w:lineRule="auto"/>
        <w:ind w:right="40" w:firstLine="0"/>
        <w:rPr>
          <w:rFonts w:asciiTheme="majorHAnsi" w:hAnsiTheme="majorHAnsi"/>
          <w:sz w:val="18"/>
          <w:szCs w:val="18"/>
        </w:rPr>
      </w:pPr>
      <w:r w:rsidRPr="00952B62">
        <w:rPr>
          <w:rStyle w:val="Bodytext16Bold"/>
          <w:rFonts w:asciiTheme="majorHAnsi" w:hAnsiTheme="majorHAnsi"/>
          <w:sz w:val="18"/>
          <w:szCs w:val="18"/>
        </w:rPr>
        <w:t>kötéskori árfolyam</w:t>
      </w:r>
      <w:r w:rsidRPr="00952B62">
        <w:rPr>
          <w:rFonts w:asciiTheme="majorHAnsi" w:hAnsiTheme="majorHAnsi"/>
          <w:sz w:val="18"/>
          <w:szCs w:val="18"/>
        </w:rPr>
        <w:t xml:space="preserve"> = az árfolyamjegyző hitel</w:t>
      </w:r>
      <w:r w:rsidRPr="00952B62">
        <w:rPr>
          <w:rFonts w:asciiTheme="majorHAnsi" w:hAnsiTheme="majorHAnsi"/>
          <w:sz w:val="18"/>
          <w:szCs w:val="18"/>
        </w:rPr>
        <w:softHyphen/>
        <w:t>intézet által a szerződéskötés napjára hivatalo</w:t>
      </w:r>
      <w:r w:rsidRPr="00952B62">
        <w:rPr>
          <w:rFonts w:asciiTheme="majorHAnsi" w:hAnsiTheme="majorHAnsi"/>
          <w:sz w:val="18"/>
          <w:szCs w:val="18"/>
        </w:rPr>
        <w:softHyphen/>
        <w:t>san közzétett, ennek hiányában a szerződés</w:t>
      </w:r>
      <w:r w:rsidRPr="00952B62">
        <w:rPr>
          <w:rFonts w:asciiTheme="majorHAnsi" w:hAnsiTheme="majorHAnsi"/>
          <w:sz w:val="18"/>
          <w:szCs w:val="18"/>
        </w:rPr>
        <w:softHyphen/>
        <w:t>kötés napját megelőző árfolyamjegyzési napra hivatalosan közzétett</w:t>
      </w:r>
      <w:r w:rsidRPr="00952B62">
        <w:rPr>
          <w:rStyle w:val="Bodytext16Bold"/>
          <w:rFonts w:asciiTheme="majorHAnsi" w:hAnsiTheme="majorHAnsi"/>
          <w:sz w:val="18"/>
          <w:szCs w:val="18"/>
        </w:rPr>
        <w:t xml:space="preserve"> vállalati deviza vételi árfolyam,</w:t>
      </w:r>
      <w:r w:rsidRPr="00952B62">
        <w:rPr>
          <w:rFonts w:asciiTheme="majorHAnsi" w:hAnsiTheme="majorHAnsi"/>
          <w:sz w:val="18"/>
          <w:szCs w:val="18"/>
        </w:rPr>
        <w:t xml:space="preserve"> ahol</w:t>
      </w:r>
    </w:p>
    <w:p w:rsidR="00735941" w:rsidRPr="00952B62" w:rsidRDefault="00735941" w:rsidP="00BA2848">
      <w:pPr>
        <w:pStyle w:val="Bodytext160"/>
        <w:shd w:val="clear" w:color="auto" w:fill="auto"/>
        <w:spacing w:before="0" w:after="171" w:line="240" w:lineRule="auto"/>
        <w:ind w:right="40" w:firstLine="0"/>
        <w:rPr>
          <w:rFonts w:asciiTheme="majorHAnsi" w:hAnsiTheme="majorHAnsi"/>
          <w:sz w:val="18"/>
          <w:szCs w:val="18"/>
        </w:rPr>
      </w:pPr>
      <w:r w:rsidRPr="00952B62">
        <w:rPr>
          <w:rStyle w:val="Bodytext16Bold"/>
          <w:rFonts w:asciiTheme="majorHAnsi" w:hAnsiTheme="majorHAnsi"/>
          <w:sz w:val="18"/>
          <w:szCs w:val="18"/>
        </w:rPr>
        <w:t>árfolyamjegyző hitelintézet</w:t>
      </w:r>
      <w:r w:rsidRPr="00952B62">
        <w:rPr>
          <w:rFonts w:asciiTheme="majorHAnsi" w:hAnsiTheme="majorHAnsi"/>
          <w:sz w:val="18"/>
          <w:szCs w:val="18"/>
        </w:rPr>
        <w:t xml:space="preserve"> = (A) a jelen Hir</w:t>
      </w:r>
      <w:r w:rsidRPr="00952B62">
        <w:rPr>
          <w:rFonts w:asciiTheme="majorHAnsi" w:hAnsiTheme="majorHAnsi"/>
          <w:sz w:val="18"/>
          <w:szCs w:val="18"/>
        </w:rPr>
        <w:softHyphen/>
        <w:t>detmény hatályba lépésének napjától kötött ügyletek tekintetében a</w:t>
      </w:r>
      <w:r w:rsidRPr="00952B62">
        <w:rPr>
          <w:rStyle w:val="Bodytext16Bold"/>
          <w:rFonts w:asciiTheme="majorHAnsi" w:hAnsiTheme="majorHAnsi"/>
          <w:sz w:val="18"/>
          <w:szCs w:val="18"/>
        </w:rPr>
        <w:t xml:space="preserve"> CIB Bank </w:t>
      </w:r>
      <w:r w:rsidR="00952B62">
        <w:rPr>
          <w:rStyle w:val="Bodytext16Bold"/>
          <w:rFonts w:asciiTheme="majorHAnsi" w:hAnsiTheme="majorHAnsi"/>
          <w:sz w:val="18"/>
          <w:szCs w:val="18"/>
        </w:rPr>
        <w:t>Zrt.</w:t>
      </w:r>
    </w:p>
    <w:p w:rsidR="00735941" w:rsidRPr="00952B62" w:rsidRDefault="00735941" w:rsidP="00BA2848">
      <w:pPr>
        <w:pStyle w:val="Szvegtrzs1"/>
        <w:numPr>
          <w:ilvl w:val="1"/>
          <w:numId w:val="7"/>
        </w:numPr>
        <w:shd w:val="clear" w:color="auto" w:fill="auto"/>
        <w:tabs>
          <w:tab w:val="left" w:pos="315"/>
        </w:tabs>
        <w:spacing w:before="0" w:line="240" w:lineRule="auto"/>
        <w:ind w:right="40" w:firstLine="0"/>
        <w:jc w:val="both"/>
        <w:rPr>
          <w:rFonts w:asciiTheme="majorHAnsi" w:hAnsiTheme="majorHAnsi"/>
          <w:sz w:val="18"/>
          <w:szCs w:val="18"/>
        </w:rPr>
      </w:pPr>
      <w:r w:rsidRPr="00952B62">
        <w:rPr>
          <w:rFonts w:asciiTheme="majorHAnsi" w:hAnsiTheme="majorHAnsi"/>
          <w:sz w:val="18"/>
          <w:szCs w:val="18"/>
        </w:rPr>
        <w:t>Pénzügyi lízingügyletek tekintetében, eltérő Alapdevizanem és Számlázási devizanem esetén az árfolyamváltozások hatását</w:t>
      </w:r>
      <w:r w:rsidRPr="00952B62">
        <w:rPr>
          <w:rStyle w:val="BodytextItalic"/>
          <w:rFonts w:asciiTheme="majorHAnsi" w:hAnsiTheme="majorHAnsi"/>
          <w:sz w:val="18"/>
          <w:szCs w:val="18"/>
        </w:rPr>
        <w:t xml:space="preserve"> (árfo</w:t>
      </w:r>
      <w:r w:rsidRPr="00952B62">
        <w:rPr>
          <w:rStyle w:val="BodytextItalic"/>
          <w:rFonts w:asciiTheme="majorHAnsi" w:hAnsiTheme="majorHAnsi"/>
          <w:sz w:val="18"/>
          <w:szCs w:val="18"/>
        </w:rPr>
        <w:softHyphen/>
        <w:t>lyamkülönbség)</w:t>
      </w:r>
      <w:r w:rsidRPr="00952B62">
        <w:rPr>
          <w:rFonts w:asciiTheme="majorHAnsi" w:hAnsiTheme="majorHAnsi"/>
          <w:sz w:val="18"/>
          <w:szCs w:val="18"/>
        </w:rPr>
        <w:t xml:space="preserve">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az alábbiak szerint számolja el a Lízingbevevővel:</w:t>
      </w:r>
    </w:p>
    <w:p w:rsidR="00B62FA7" w:rsidRPr="00952B62" w:rsidRDefault="00B62FA7" w:rsidP="00BA2848">
      <w:pPr>
        <w:pStyle w:val="Szvegtrzs1"/>
        <w:shd w:val="clear" w:color="auto" w:fill="auto"/>
        <w:tabs>
          <w:tab w:val="left" w:pos="315"/>
        </w:tabs>
        <w:spacing w:before="0" w:line="240" w:lineRule="auto"/>
        <w:ind w:right="40" w:firstLine="0"/>
        <w:jc w:val="both"/>
        <w:rPr>
          <w:rFonts w:asciiTheme="majorHAnsi" w:hAnsiTheme="majorHAnsi"/>
          <w:sz w:val="18"/>
          <w:szCs w:val="18"/>
        </w:rPr>
      </w:pPr>
    </w:p>
    <w:p w:rsidR="00735941" w:rsidRPr="00952B62" w:rsidRDefault="00735941" w:rsidP="00BA2848">
      <w:pPr>
        <w:pStyle w:val="Bodytext160"/>
        <w:numPr>
          <w:ilvl w:val="2"/>
          <w:numId w:val="7"/>
        </w:numPr>
        <w:shd w:val="clear" w:color="auto" w:fill="auto"/>
        <w:tabs>
          <w:tab w:val="left" w:pos="304"/>
        </w:tabs>
        <w:spacing w:before="0" w:after="128" w:line="240" w:lineRule="auto"/>
        <w:ind w:firstLine="0"/>
        <w:rPr>
          <w:rFonts w:asciiTheme="majorHAnsi" w:hAnsiTheme="majorHAnsi"/>
          <w:sz w:val="18"/>
          <w:szCs w:val="18"/>
        </w:rPr>
      </w:pPr>
      <w:r w:rsidRPr="00952B62">
        <w:rPr>
          <w:rFonts w:asciiTheme="majorHAnsi" w:hAnsiTheme="majorHAnsi"/>
          <w:sz w:val="18"/>
          <w:szCs w:val="18"/>
        </w:rPr>
        <w:t>tökére jutó árfolyamkülönbség kiszámítása</w:t>
      </w:r>
    </w:p>
    <w:p w:rsidR="00735941" w:rsidRPr="00952B62" w:rsidRDefault="00B62FA7" w:rsidP="00BA2848">
      <w:pPr>
        <w:pStyle w:val="Bodytext160"/>
        <w:shd w:val="clear" w:color="auto" w:fill="auto"/>
        <w:spacing w:before="0" w:line="240" w:lineRule="auto"/>
        <w:ind w:right="20" w:firstLine="0"/>
        <w:rPr>
          <w:rFonts w:asciiTheme="majorHAnsi" w:hAnsiTheme="majorHAnsi"/>
          <w:sz w:val="18"/>
          <w:szCs w:val="18"/>
        </w:rPr>
      </w:pPr>
      <w:r w:rsidRPr="00952B62">
        <w:rPr>
          <w:rFonts w:asciiTheme="majorHAnsi" w:hAnsiTheme="majorHAnsi"/>
          <w:sz w:val="18"/>
          <w:szCs w:val="18"/>
        </w:rPr>
        <w:t>esedékes tőkeö</w:t>
      </w:r>
      <w:r w:rsidR="00735941" w:rsidRPr="00952B62">
        <w:rPr>
          <w:rFonts w:asciiTheme="majorHAnsi" w:hAnsiTheme="majorHAnsi"/>
          <w:sz w:val="18"/>
          <w:szCs w:val="18"/>
        </w:rPr>
        <w:t>sszeg az Alapdevizanemben * (az elszámolási árfolyam mínusz a kötéskori árfolyam), ahol</w:t>
      </w:r>
    </w:p>
    <w:p w:rsidR="00735941" w:rsidRPr="00952B62" w:rsidRDefault="00735941" w:rsidP="00BA2848">
      <w:pPr>
        <w:pStyle w:val="Bodytext160"/>
        <w:shd w:val="clear" w:color="auto" w:fill="auto"/>
        <w:spacing w:before="0" w:after="130" w:line="240" w:lineRule="auto"/>
        <w:ind w:right="20" w:firstLine="0"/>
        <w:rPr>
          <w:rFonts w:asciiTheme="majorHAnsi" w:hAnsiTheme="majorHAnsi"/>
          <w:sz w:val="18"/>
          <w:szCs w:val="18"/>
        </w:rPr>
      </w:pPr>
      <w:r w:rsidRPr="00952B62">
        <w:rPr>
          <w:rStyle w:val="Bodytext16Bold"/>
          <w:rFonts w:asciiTheme="majorHAnsi" w:hAnsiTheme="majorHAnsi"/>
          <w:sz w:val="18"/>
          <w:szCs w:val="18"/>
        </w:rPr>
        <w:t>elszámolási árfolyam</w:t>
      </w:r>
      <w:r w:rsidRPr="00952B62">
        <w:rPr>
          <w:rStyle w:val="Bodytext1645ptNotItalic"/>
          <w:rFonts w:asciiTheme="majorHAnsi" w:hAnsiTheme="majorHAnsi"/>
          <w:sz w:val="18"/>
          <w:szCs w:val="18"/>
        </w:rPr>
        <w:t xml:space="preserve"> =</w:t>
      </w:r>
      <w:r w:rsidRPr="00952B62">
        <w:rPr>
          <w:rFonts w:asciiTheme="majorHAnsi" w:hAnsiTheme="majorHAnsi"/>
          <w:sz w:val="18"/>
          <w:szCs w:val="18"/>
        </w:rPr>
        <w:t xml:space="preserve"> az árfolyamjegyző hitelintézet által az elszámolási napra hivatalo</w:t>
      </w:r>
      <w:r w:rsidRPr="00952B62">
        <w:rPr>
          <w:rFonts w:asciiTheme="majorHAnsi" w:hAnsiTheme="majorHAnsi"/>
          <w:sz w:val="18"/>
          <w:szCs w:val="18"/>
        </w:rPr>
        <w:softHyphen/>
        <w:t>san közzétett</w:t>
      </w:r>
      <w:r w:rsidRPr="00952B62">
        <w:rPr>
          <w:rStyle w:val="Bodytext16Bold"/>
          <w:rFonts w:asciiTheme="majorHAnsi" w:hAnsiTheme="majorHAnsi"/>
          <w:sz w:val="18"/>
          <w:szCs w:val="18"/>
        </w:rPr>
        <w:t xml:space="preserve"> vállalati deviza eladási árfo</w:t>
      </w:r>
      <w:r w:rsidRPr="00952B62">
        <w:rPr>
          <w:rStyle w:val="Bodytext16Bold"/>
          <w:rFonts w:asciiTheme="majorHAnsi" w:hAnsiTheme="majorHAnsi"/>
          <w:sz w:val="18"/>
          <w:szCs w:val="18"/>
        </w:rPr>
        <w:softHyphen/>
        <w:t>lyam,</w:t>
      </w:r>
      <w:r w:rsidRPr="00952B62">
        <w:rPr>
          <w:rFonts w:asciiTheme="majorHAnsi" w:hAnsiTheme="majorHAnsi"/>
          <w:sz w:val="18"/>
          <w:szCs w:val="18"/>
        </w:rPr>
        <w:t xml:space="preserve"> ahol</w:t>
      </w:r>
    </w:p>
    <w:p w:rsidR="00735941" w:rsidRPr="00952B62" w:rsidRDefault="00735941" w:rsidP="00BA2848">
      <w:pPr>
        <w:pStyle w:val="Bodytext120"/>
        <w:shd w:val="clear" w:color="auto" w:fill="auto"/>
        <w:spacing w:after="71" w:line="240" w:lineRule="auto"/>
        <w:ind w:firstLine="0"/>
        <w:jc w:val="both"/>
        <w:rPr>
          <w:rFonts w:asciiTheme="majorHAnsi" w:hAnsiTheme="majorHAnsi"/>
          <w:sz w:val="18"/>
          <w:szCs w:val="18"/>
        </w:rPr>
      </w:pPr>
      <w:r w:rsidRPr="00952B62">
        <w:rPr>
          <w:rFonts w:asciiTheme="majorHAnsi" w:hAnsiTheme="majorHAnsi"/>
          <w:sz w:val="18"/>
          <w:szCs w:val="18"/>
        </w:rPr>
        <w:t>elszámolási nap =</w:t>
      </w:r>
    </w:p>
    <w:p w:rsidR="00735941" w:rsidRPr="00952B62" w:rsidRDefault="00735941" w:rsidP="00BA2848">
      <w:pPr>
        <w:pStyle w:val="Bodytext160"/>
        <w:numPr>
          <w:ilvl w:val="0"/>
          <w:numId w:val="8"/>
        </w:numPr>
        <w:shd w:val="clear" w:color="auto" w:fill="auto"/>
        <w:tabs>
          <w:tab w:val="left" w:pos="491"/>
        </w:tabs>
        <w:spacing w:before="0" w:line="240" w:lineRule="auto"/>
        <w:ind w:right="20" w:firstLine="0"/>
        <w:rPr>
          <w:rFonts w:asciiTheme="majorHAnsi" w:hAnsiTheme="majorHAnsi"/>
          <w:sz w:val="18"/>
          <w:szCs w:val="18"/>
        </w:rPr>
      </w:pPr>
      <w:r w:rsidRPr="00952B62">
        <w:rPr>
          <w:rFonts w:asciiTheme="majorHAnsi" w:hAnsiTheme="majorHAnsi"/>
          <w:sz w:val="18"/>
          <w:szCs w:val="18"/>
        </w:rPr>
        <w:t>periódusonkénti elszámolás tekintetében, a tárgyhónap 20. napját megelőző esedékes</w:t>
      </w:r>
      <w:r w:rsidRPr="00952B62">
        <w:rPr>
          <w:rFonts w:asciiTheme="majorHAnsi" w:hAnsiTheme="majorHAnsi"/>
          <w:sz w:val="18"/>
          <w:szCs w:val="18"/>
        </w:rPr>
        <w:softHyphen/>
        <w:t>ségnél az előző naptári hónap 20. napja, egyéb esetben a tárgyhónap 20. napja, illetőleg ha ezen napokon az árfolyamjegyző hitelintézet nem publikál elszámolási árfo</w:t>
      </w:r>
      <w:r w:rsidRPr="00952B62">
        <w:rPr>
          <w:rFonts w:asciiTheme="majorHAnsi" w:hAnsiTheme="majorHAnsi"/>
          <w:sz w:val="18"/>
          <w:szCs w:val="18"/>
        </w:rPr>
        <w:softHyphen/>
        <w:t>lyamot, akkor a fentiek szerint irányadó napot megelőző árfolyamjegyzési nap;</w:t>
      </w:r>
    </w:p>
    <w:p w:rsidR="00735941" w:rsidRPr="00952B62" w:rsidRDefault="00735941" w:rsidP="00BA2848">
      <w:pPr>
        <w:pStyle w:val="Bodytext160"/>
        <w:numPr>
          <w:ilvl w:val="0"/>
          <w:numId w:val="8"/>
        </w:numPr>
        <w:shd w:val="clear" w:color="auto" w:fill="auto"/>
        <w:tabs>
          <w:tab w:val="left" w:pos="491"/>
        </w:tabs>
        <w:spacing w:before="0" w:after="117" w:line="240" w:lineRule="auto"/>
        <w:ind w:right="20" w:firstLine="0"/>
        <w:rPr>
          <w:rFonts w:asciiTheme="majorHAnsi" w:hAnsiTheme="majorHAnsi"/>
          <w:sz w:val="18"/>
          <w:szCs w:val="18"/>
        </w:rPr>
      </w:pPr>
      <w:r w:rsidRPr="00952B62">
        <w:rPr>
          <w:rFonts w:asciiTheme="majorHAnsi" w:hAnsiTheme="majorHAnsi"/>
          <w:sz w:val="18"/>
          <w:szCs w:val="18"/>
        </w:rPr>
        <w:t>szerződésmódosítás tekintetében a Lízingbe</w:t>
      </w:r>
      <w:r w:rsidRPr="00952B62">
        <w:rPr>
          <w:rFonts w:asciiTheme="majorHAnsi" w:hAnsiTheme="majorHAnsi"/>
          <w:sz w:val="18"/>
          <w:szCs w:val="18"/>
        </w:rPr>
        <w:softHyphen/>
        <w:t>vevő módosítással kapcsolatos fizetési kötelezettsége esedékessé válásának napja alapján, a tárgyhónap 20. napját megelőző esedékességnél az előző naptári hónap 20. napja, egyéb esetben a tárgyhónap 20. napja, illetőleg ha ezen napokon az árfo</w:t>
      </w:r>
      <w:r w:rsidRPr="00952B62">
        <w:rPr>
          <w:rFonts w:asciiTheme="majorHAnsi" w:hAnsiTheme="majorHAnsi"/>
          <w:sz w:val="18"/>
          <w:szCs w:val="18"/>
        </w:rPr>
        <w:softHyphen/>
        <w:t>lyamjegyző hitelintézet nem publikál elszá</w:t>
      </w:r>
      <w:r w:rsidRPr="00952B62">
        <w:rPr>
          <w:rFonts w:asciiTheme="majorHAnsi" w:hAnsiTheme="majorHAnsi"/>
          <w:sz w:val="18"/>
          <w:szCs w:val="18"/>
        </w:rPr>
        <w:softHyphen/>
        <w:t>molási árfolyamot akkor a fentiek szerint irányadó napot megelőző árfolyamjegyzési nap;</w:t>
      </w:r>
    </w:p>
    <w:p w:rsidR="00735941" w:rsidRPr="00952B62" w:rsidRDefault="00735941" w:rsidP="00BA2848">
      <w:pPr>
        <w:pStyle w:val="Bodytext160"/>
        <w:shd w:val="clear" w:color="auto" w:fill="auto"/>
        <w:spacing w:before="0" w:after="109" w:line="240" w:lineRule="auto"/>
        <w:ind w:right="20" w:firstLine="0"/>
        <w:rPr>
          <w:rFonts w:asciiTheme="majorHAnsi" w:hAnsiTheme="majorHAnsi"/>
          <w:sz w:val="18"/>
          <w:szCs w:val="18"/>
        </w:rPr>
      </w:pPr>
      <w:r w:rsidRPr="00952B62">
        <w:rPr>
          <w:rFonts w:asciiTheme="majorHAnsi" w:hAnsiTheme="majorHAnsi"/>
          <w:sz w:val="18"/>
          <w:szCs w:val="18"/>
        </w:rPr>
        <w:t>~ futamidő előtti lezárás tekintetében a tény</w:t>
      </w:r>
      <w:r w:rsidRPr="00952B62">
        <w:rPr>
          <w:rFonts w:asciiTheme="majorHAnsi" w:hAnsiTheme="majorHAnsi"/>
          <w:sz w:val="18"/>
          <w:szCs w:val="18"/>
        </w:rPr>
        <w:softHyphen/>
        <w:t>leges elszámolás napja, azaz Lízingbevevő zárással kapcsolatos fizetési kötelezettsége esedékessé válásának a napja;</w:t>
      </w:r>
    </w:p>
    <w:p w:rsidR="00735941" w:rsidRPr="00952B62" w:rsidRDefault="00735941" w:rsidP="00BA2848">
      <w:pPr>
        <w:pStyle w:val="Bodytext160"/>
        <w:numPr>
          <w:ilvl w:val="1"/>
          <w:numId w:val="8"/>
        </w:numPr>
        <w:shd w:val="clear" w:color="auto" w:fill="auto"/>
        <w:tabs>
          <w:tab w:val="left" w:pos="308"/>
        </w:tabs>
        <w:spacing w:before="0" w:after="132" w:line="240" w:lineRule="auto"/>
        <w:ind w:right="20" w:firstLine="0"/>
        <w:jc w:val="left"/>
        <w:rPr>
          <w:rFonts w:asciiTheme="majorHAnsi" w:hAnsiTheme="majorHAnsi"/>
          <w:sz w:val="18"/>
          <w:szCs w:val="18"/>
        </w:rPr>
      </w:pPr>
      <w:r w:rsidRPr="00952B62">
        <w:rPr>
          <w:rFonts w:asciiTheme="majorHAnsi" w:hAnsiTheme="majorHAnsi"/>
          <w:sz w:val="18"/>
          <w:szCs w:val="18"/>
        </w:rPr>
        <w:t>ügyleti kamatra jutó árfolyamkülönbség kiszámítása</w:t>
      </w:r>
    </w:p>
    <w:p w:rsidR="00735941" w:rsidRPr="00952B62" w:rsidRDefault="00735941" w:rsidP="00BA2848">
      <w:pPr>
        <w:pStyle w:val="Bodytext160"/>
        <w:shd w:val="clear" w:color="auto" w:fill="auto"/>
        <w:spacing w:before="0" w:line="240" w:lineRule="auto"/>
        <w:ind w:right="20" w:firstLine="0"/>
        <w:rPr>
          <w:rFonts w:asciiTheme="majorHAnsi" w:hAnsiTheme="majorHAnsi"/>
          <w:sz w:val="18"/>
          <w:szCs w:val="18"/>
        </w:rPr>
      </w:pPr>
      <w:r w:rsidRPr="00952B62">
        <w:rPr>
          <w:rFonts w:asciiTheme="majorHAnsi" w:hAnsiTheme="majorHAnsi"/>
          <w:sz w:val="18"/>
          <w:szCs w:val="18"/>
        </w:rPr>
        <w:t>esedékes kamatösszeg az Alapdevizanemben * (elszámolási árfolyam mínusz a kötéskori árfolyam), ahol</w:t>
      </w:r>
    </w:p>
    <w:p w:rsidR="00735941" w:rsidRPr="00952B62" w:rsidRDefault="00735941" w:rsidP="00BA2848">
      <w:pPr>
        <w:pStyle w:val="Bodytext160"/>
        <w:shd w:val="clear" w:color="auto" w:fill="auto"/>
        <w:spacing w:before="0" w:after="111" w:line="240" w:lineRule="auto"/>
        <w:ind w:right="20" w:firstLine="0"/>
        <w:rPr>
          <w:rFonts w:asciiTheme="majorHAnsi" w:hAnsiTheme="majorHAnsi"/>
          <w:sz w:val="18"/>
          <w:szCs w:val="18"/>
        </w:rPr>
      </w:pPr>
      <w:r w:rsidRPr="00952B62">
        <w:rPr>
          <w:rStyle w:val="Bodytext16Bold"/>
          <w:rFonts w:asciiTheme="majorHAnsi" w:hAnsiTheme="majorHAnsi"/>
          <w:sz w:val="18"/>
          <w:szCs w:val="18"/>
        </w:rPr>
        <w:t>esedékes kamatösszeg</w:t>
      </w:r>
      <w:r w:rsidRPr="00952B62">
        <w:rPr>
          <w:rFonts w:asciiTheme="majorHAnsi" w:hAnsiTheme="majorHAnsi"/>
          <w:sz w:val="18"/>
          <w:szCs w:val="18"/>
        </w:rPr>
        <w:t xml:space="preserve"> = az esetleges kamat</w:t>
      </w:r>
      <w:r w:rsidRPr="00952B62">
        <w:rPr>
          <w:rFonts w:asciiTheme="majorHAnsi" w:hAnsiTheme="majorHAnsi"/>
          <w:sz w:val="18"/>
          <w:szCs w:val="18"/>
        </w:rPr>
        <w:softHyphen/>
        <w:t>változtatások alapján kiszámított módosított ügyleti kamat.</w:t>
      </w:r>
    </w:p>
    <w:p w:rsidR="00735941" w:rsidRPr="00952B62" w:rsidRDefault="00735941" w:rsidP="00BA2848">
      <w:pPr>
        <w:pStyle w:val="Szvegtrzs1"/>
        <w:shd w:val="clear" w:color="auto" w:fill="auto"/>
        <w:spacing w:before="0" w:after="129" w:line="240" w:lineRule="auto"/>
        <w:ind w:right="20" w:firstLine="0"/>
        <w:jc w:val="both"/>
        <w:rPr>
          <w:rFonts w:asciiTheme="majorHAnsi" w:hAnsiTheme="majorHAnsi"/>
          <w:sz w:val="18"/>
          <w:szCs w:val="18"/>
        </w:rPr>
      </w:pPr>
      <w:r w:rsidRPr="00952B62">
        <w:rPr>
          <w:rFonts w:asciiTheme="majorHAnsi" w:hAnsiTheme="majorHAnsi"/>
          <w:sz w:val="18"/>
          <w:szCs w:val="18"/>
        </w:rPr>
        <w:t xml:space="preserve">9. Periódusonkénti elszámolás, továbbá szerződésmódosítás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jogosult az elszámolási nap és az esedékesség napja közötti árfolyamkülönbsé</w:t>
      </w:r>
      <w:r w:rsidRPr="00952B62">
        <w:rPr>
          <w:rFonts w:asciiTheme="majorHAnsi" w:hAnsiTheme="majorHAnsi"/>
          <w:sz w:val="18"/>
          <w:szCs w:val="18"/>
        </w:rPr>
        <w:softHyphen/>
        <w:t>gek</w:t>
      </w:r>
      <w:r w:rsidRPr="00952B62">
        <w:rPr>
          <w:rStyle w:val="BodytextItalic"/>
          <w:rFonts w:asciiTheme="majorHAnsi" w:hAnsiTheme="majorHAnsi"/>
          <w:sz w:val="18"/>
          <w:szCs w:val="18"/>
        </w:rPr>
        <w:t xml:space="preserve"> (utólagos árfolyamkülönbség)</w:t>
      </w:r>
      <w:r w:rsidRPr="00952B62">
        <w:rPr>
          <w:rFonts w:asciiTheme="majorHAnsi" w:hAnsiTheme="majorHAnsi"/>
          <w:sz w:val="18"/>
          <w:szCs w:val="18"/>
        </w:rPr>
        <w:t xml:space="preserve"> elszámolásá</w:t>
      </w:r>
      <w:r w:rsidRPr="00952B62">
        <w:rPr>
          <w:rFonts w:asciiTheme="majorHAnsi" w:hAnsiTheme="majorHAnsi"/>
          <w:sz w:val="18"/>
          <w:szCs w:val="18"/>
        </w:rPr>
        <w:softHyphen/>
        <w:t>ra, az alábbiak szerint:</w:t>
      </w:r>
    </w:p>
    <w:p w:rsidR="00735941" w:rsidRPr="00952B62" w:rsidRDefault="00735941" w:rsidP="00BA2848">
      <w:pPr>
        <w:pStyle w:val="Bodytext160"/>
        <w:shd w:val="clear" w:color="auto" w:fill="auto"/>
        <w:spacing w:before="0" w:after="130" w:line="240" w:lineRule="auto"/>
        <w:ind w:right="20" w:firstLine="0"/>
        <w:rPr>
          <w:rFonts w:asciiTheme="majorHAnsi" w:hAnsiTheme="majorHAnsi"/>
          <w:sz w:val="18"/>
          <w:szCs w:val="18"/>
        </w:rPr>
      </w:pPr>
      <w:r w:rsidRPr="00952B62">
        <w:rPr>
          <w:rStyle w:val="Bodytext16Bold"/>
          <w:rFonts w:asciiTheme="majorHAnsi" w:hAnsiTheme="majorHAnsi"/>
          <w:sz w:val="18"/>
          <w:szCs w:val="18"/>
        </w:rPr>
        <w:t>utólagos árfolyamkülönbség</w:t>
      </w:r>
      <w:r w:rsidRPr="00952B62">
        <w:rPr>
          <w:rFonts w:asciiTheme="majorHAnsi" w:hAnsiTheme="majorHAnsi"/>
          <w:sz w:val="18"/>
          <w:szCs w:val="18"/>
        </w:rPr>
        <w:t xml:space="preserve"> = (esedékes tő</w:t>
      </w:r>
      <w:r w:rsidRPr="00952B62">
        <w:rPr>
          <w:rFonts w:asciiTheme="majorHAnsi" w:hAnsiTheme="majorHAnsi"/>
          <w:sz w:val="18"/>
          <w:szCs w:val="18"/>
        </w:rPr>
        <w:softHyphen/>
        <w:t>keösszeg + esedékes kamatösszeg</w:t>
      </w:r>
      <w:r w:rsidRPr="00952B62">
        <w:rPr>
          <w:rStyle w:val="Bodytext16Bold"/>
          <w:rFonts w:asciiTheme="majorHAnsi" w:hAnsiTheme="majorHAnsi"/>
          <w:sz w:val="18"/>
          <w:szCs w:val="18"/>
        </w:rPr>
        <w:t xml:space="preserve"> az</w:t>
      </w:r>
      <w:r w:rsidRPr="00952B62">
        <w:rPr>
          <w:rFonts w:asciiTheme="majorHAnsi" w:hAnsiTheme="majorHAnsi"/>
          <w:sz w:val="18"/>
          <w:szCs w:val="18"/>
        </w:rPr>
        <w:t xml:space="preserve"> Alapde</w:t>
      </w:r>
      <w:r w:rsidRPr="00952B62">
        <w:rPr>
          <w:rFonts w:asciiTheme="majorHAnsi" w:hAnsiTheme="majorHAnsi"/>
          <w:sz w:val="18"/>
          <w:szCs w:val="18"/>
        </w:rPr>
        <w:softHyphen/>
        <w:t>vizanemben) * (az árfolyamjegyző hitelintézet által az esedékesség napjára, illetve az azt megelőző árfolyamjegyzési napra hivatalosan közzétett</w:t>
      </w:r>
      <w:r w:rsidRPr="00952B62">
        <w:rPr>
          <w:rStyle w:val="Bodytext16Bold"/>
          <w:rFonts w:asciiTheme="majorHAnsi" w:hAnsiTheme="majorHAnsi"/>
          <w:sz w:val="18"/>
          <w:szCs w:val="18"/>
        </w:rPr>
        <w:t xml:space="preserve"> vállalati deviza eladási árfolyam </w:t>
      </w:r>
      <w:r w:rsidRPr="00952B62">
        <w:rPr>
          <w:rFonts w:asciiTheme="majorHAnsi" w:hAnsiTheme="majorHAnsi"/>
          <w:sz w:val="18"/>
          <w:szCs w:val="18"/>
        </w:rPr>
        <w:t>mínusz az elszámolási árfolyam), ahol</w:t>
      </w:r>
    </w:p>
    <w:p w:rsidR="00735941" w:rsidRPr="00952B62" w:rsidRDefault="00735941" w:rsidP="00BA2848">
      <w:pPr>
        <w:pStyle w:val="Bodytext120"/>
        <w:shd w:val="clear" w:color="auto" w:fill="auto"/>
        <w:spacing w:after="68" w:line="240" w:lineRule="auto"/>
        <w:ind w:firstLine="0"/>
        <w:jc w:val="both"/>
        <w:rPr>
          <w:rFonts w:asciiTheme="majorHAnsi" w:hAnsiTheme="majorHAnsi"/>
          <w:sz w:val="18"/>
          <w:szCs w:val="18"/>
        </w:rPr>
      </w:pPr>
      <w:r w:rsidRPr="00952B62">
        <w:rPr>
          <w:rFonts w:asciiTheme="majorHAnsi" w:hAnsiTheme="majorHAnsi"/>
          <w:sz w:val="18"/>
          <w:szCs w:val="18"/>
        </w:rPr>
        <w:t>esedékesség napja =</w:t>
      </w:r>
    </w:p>
    <w:p w:rsidR="00735941" w:rsidRPr="00952B62" w:rsidRDefault="00735941" w:rsidP="00BA2848">
      <w:pPr>
        <w:pStyle w:val="Bodytext160"/>
        <w:numPr>
          <w:ilvl w:val="0"/>
          <w:numId w:val="8"/>
        </w:numPr>
        <w:shd w:val="clear" w:color="auto" w:fill="auto"/>
        <w:tabs>
          <w:tab w:val="left" w:pos="484"/>
        </w:tabs>
        <w:spacing w:before="0" w:line="240" w:lineRule="auto"/>
        <w:ind w:right="20" w:firstLine="0"/>
        <w:rPr>
          <w:rFonts w:asciiTheme="majorHAnsi" w:hAnsiTheme="majorHAnsi"/>
          <w:sz w:val="18"/>
          <w:szCs w:val="18"/>
        </w:rPr>
      </w:pPr>
      <w:r w:rsidRPr="00952B62">
        <w:rPr>
          <w:rFonts w:asciiTheme="majorHAnsi" w:hAnsiTheme="majorHAnsi"/>
          <w:sz w:val="18"/>
          <w:szCs w:val="18"/>
        </w:rPr>
        <w:t>periódusonkénti elszámolás tekintetében az érvényben lévő fizetési ütemezés szerint meghatározott esedékességi nap;</w:t>
      </w:r>
    </w:p>
    <w:p w:rsidR="00735941" w:rsidRPr="00952B62" w:rsidRDefault="00735941" w:rsidP="00BA2848">
      <w:pPr>
        <w:pStyle w:val="Bodytext160"/>
        <w:numPr>
          <w:ilvl w:val="0"/>
          <w:numId w:val="8"/>
        </w:numPr>
        <w:shd w:val="clear" w:color="auto" w:fill="auto"/>
        <w:tabs>
          <w:tab w:val="left" w:pos="491"/>
        </w:tabs>
        <w:spacing w:before="0" w:after="111" w:line="240" w:lineRule="auto"/>
        <w:ind w:right="20" w:firstLine="0"/>
        <w:rPr>
          <w:rFonts w:asciiTheme="majorHAnsi" w:hAnsiTheme="majorHAnsi"/>
          <w:sz w:val="18"/>
          <w:szCs w:val="18"/>
        </w:rPr>
      </w:pPr>
      <w:r w:rsidRPr="00952B62">
        <w:rPr>
          <w:rFonts w:asciiTheme="majorHAnsi" w:hAnsiTheme="majorHAnsi"/>
          <w:sz w:val="18"/>
          <w:szCs w:val="18"/>
        </w:rPr>
        <w:t>szerződésmódosítás tekintetében a Lízingbe</w:t>
      </w:r>
      <w:r w:rsidRPr="00952B62">
        <w:rPr>
          <w:rFonts w:asciiTheme="majorHAnsi" w:hAnsiTheme="majorHAnsi"/>
          <w:sz w:val="18"/>
          <w:szCs w:val="18"/>
        </w:rPr>
        <w:softHyphen/>
        <w:t>vevő módosítással kapcsolatos fizetési köte</w:t>
      </w:r>
      <w:r w:rsidRPr="00952B62">
        <w:rPr>
          <w:rFonts w:asciiTheme="majorHAnsi" w:hAnsiTheme="majorHAnsi"/>
          <w:sz w:val="18"/>
          <w:szCs w:val="18"/>
        </w:rPr>
        <w:softHyphen/>
        <w:t>lezettsége esedékessé válásának a napja.</w:t>
      </w:r>
    </w:p>
    <w:p w:rsidR="00735941" w:rsidRPr="00952B62" w:rsidRDefault="00735941" w:rsidP="00BA2848">
      <w:pPr>
        <w:pStyle w:val="Szvegtrzs1"/>
        <w:shd w:val="clear" w:color="auto" w:fill="auto"/>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lastRenderedPageBreak/>
        <w:t>Az utólagos árfolyamkülönbség a követ</w:t>
      </w:r>
      <w:r w:rsidRPr="00952B62">
        <w:rPr>
          <w:rFonts w:asciiTheme="majorHAnsi" w:hAnsiTheme="majorHAnsi"/>
          <w:sz w:val="18"/>
          <w:szCs w:val="18"/>
        </w:rPr>
        <w:softHyphen/>
        <w:t>kező esedékességhez kapcsolódóan kiállított számla vagy más bizonylat alapján kerül elszá</w:t>
      </w:r>
      <w:r w:rsidRPr="00952B62">
        <w:rPr>
          <w:rFonts w:asciiTheme="majorHAnsi" w:hAnsiTheme="majorHAnsi"/>
          <w:sz w:val="18"/>
          <w:szCs w:val="18"/>
        </w:rPr>
        <w:softHyphen/>
        <w:t>molásra.</w:t>
      </w:r>
    </w:p>
    <w:p w:rsidR="00735941" w:rsidRPr="00952B62" w:rsidRDefault="00735941" w:rsidP="00BA2848">
      <w:pPr>
        <w:pStyle w:val="Bodytext160"/>
        <w:shd w:val="clear" w:color="auto" w:fill="auto"/>
        <w:spacing w:before="0" w:after="0" w:line="240" w:lineRule="auto"/>
        <w:ind w:right="20" w:firstLine="0"/>
        <w:rPr>
          <w:rFonts w:asciiTheme="majorHAnsi" w:hAnsiTheme="majorHAnsi"/>
          <w:sz w:val="18"/>
          <w:szCs w:val="18"/>
        </w:rPr>
      </w:pPr>
      <w:r w:rsidRPr="00952B62">
        <w:rPr>
          <w:rFonts w:asciiTheme="majorHAnsi" w:hAnsiTheme="majorHAnsi"/>
          <w:sz w:val="18"/>
          <w:szCs w:val="18"/>
        </w:rPr>
        <w:t xml:space="preserve">Pénzügyi lízingügyletek tekintetében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aktuálisan nem számol el utólagos árfolyamkülönbséget!</w:t>
      </w:r>
    </w:p>
    <w:p w:rsidR="00735941" w:rsidRPr="00952B62" w:rsidRDefault="00735941" w:rsidP="00BA2848">
      <w:pPr>
        <w:pStyle w:val="Bodytext160"/>
        <w:shd w:val="clear" w:color="auto" w:fill="auto"/>
        <w:spacing w:before="0" w:after="0" w:line="240" w:lineRule="auto"/>
        <w:ind w:right="20" w:firstLine="0"/>
        <w:rPr>
          <w:rFonts w:asciiTheme="majorHAnsi" w:hAnsiTheme="majorHAnsi"/>
          <w:sz w:val="18"/>
          <w:szCs w:val="18"/>
        </w:rPr>
      </w:pPr>
    </w:p>
    <w:p w:rsidR="00735941" w:rsidRPr="00952B62" w:rsidRDefault="00735941" w:rsidP="00BA2848">
      <w:pPr>
        <w:pStyle w:val="Szvegtrzs1"/>
        <w:numPr>
          <w:ilvl w:val="0"/>
          <w:numId w:val="9"/>
        </w:numPr>
        <w:shd w:val="clear" w:color="auto" w:fill="auto"/>
        <w:tabs>
          <w:tab w:val="left" w:pos="301"/>
        </w:tabs>
        <w:spacing w:before="0" w:after="132" w:line="240" w:lineRule="auto"/>
        <w:ind w:right="20" w:firstLine="0"/>
        <w:jc w:val="both"/>
        <w:rPr>
          <w:rFonts w:asciiTheme="majorHAnsi" w:hAnsiTheme="majorHAnsi"/>
          <w:sz w:val="18"/>
          <w:szCs w:val="18"/>
        </w:rPr>
      </w:pPr>
      <w:r w:rsidRPr="00952B62">
        <w:rPr>
          <w:rFonts w:asciiTheme="majorHAnsi" w:hAnsiTheme="majorHAnsi"/>
          <w:sz w:val="18"/>
          <w:szCs w:val="18"/>
        </w:rPr>
        <w:t xml:space="preserve">A szerződés futamidő előtti lezárása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a lezáráshoz kapcsolódó kimutatásban az árfolyamkülönb</w:t>
      </w:r>
      <w:r w:rsidRPr="00952B62">
        <w:rPr>
          <w:rFonts w:asciiTheme="majorHAnsi" w:hAnsiTheme="majorHAnsi"/>
          <w:sz w:val="18"/>
          <w:szCs w:val="18"/>
        </w:rPr>
        <w:softHyphen/>
        <w:t>ség tekintetében előzetesen kalkulált összeget határoz meg</w:t>
      </w:r>
      <w:r w:rsidRPr="00952B62">
        <w:rPr>
          <w:rStyle w:val="BodytextItalic"/>
          <w:rFonts w:asciiTheme="majorHAnsi" w:hAnsiTheme="majorHAnsi"/>
          <w:sz w:val="18"/>
          <w:szCs w:val="18"/>
        </w:rPr>
        <w:t xml:space="preserve"> [előzetes árfolyamkülönbség)</w:t>
      </w:r>
      <w:r w:rsidRPr="00952B62">
        <w:rPr>
          <w:rFonts w:asciiTheme="majorHAnsi" w:hAnsiTheme="majorHAnsi"/>
          <w:sz w:val="18"/>
          <w:szCs w:val="18"/>
        </w:rPr>
        <w:t>, az alábbiak szerint:</w:t>
      </w:r>
    </w:p>
    <w:p w:rsidR="00735941" w:rsidRPr="00952B62" w:rsidRDefault="00735941" w:rsidP="00BA2848">
      <w:pPr>
        <w:pStyle w:val="Bodytext160"/>
        <w:shd w:val="clear" w:color="auto" w:fill="auto"/>
        <w:spacing w:before="0" w:after="130" w:line="240" w:lineRule="auto"/>
        <w:ind w:right="20" w:firstLine="0"/>
        <w:rPr>
          <w:rFonts w:asciiTheme="majorHAnsi" w:hAnsiTheme="majorHAnsi"/>
          <w:sz w:val="18"/>
          <w:szCs w:val="18"/>
        </w:rPr>
      </w:pPr>
      <w:r w:rsidRPr="00952B62">
        <w:rPr>
          <w:rStyle w:val="Bodytext16Bold"/>
          <w:rFonts w:asciiTheme="majorHAnsi" w:hAnsiTheme="majorHAnsi"/>
          <w:sz w:val="18"/>
          <w:szCs w:val="18"/>
        </w:rPr>
        <w:t>előzetes árfolyamkülönbség</w:t>
      </w:r>
      <w:r w:rsidRPr="00952B62">
        <w:rPr>
          <w:rStyle w:val="Bodytext1645ptNotItalic"/>
          <w:rFonts w:asciiTheme="majorHAnsi" w:hAnsiTheme="majorHAnsi"/>
          <w:sz w:val="18"/>
          <w:szCs w:val="18"/>
        </w:rPr>
        <w:t xml:space="preserve"> =</w:t>
      </w:r>
      <w:r w:rsidRPr="00952B62">
        <w:rPr>
          <w:rFonts w:asciiTheme="majorHAnsi" w:hAnsiTheme="majorHAnsi"/>
          <w:sz w:val="18"/>
          <w:szCs w:val="18"/>
        </w:rPr>
        <w:t xml:space="preserve"> esedékes tő</w:t>
      </w:r>
      <w:r w:rsidRPr="00952B62">
        <w:rPr>
          <w:rFonts w:asciiTheme="majorHAnsi" w:hAnsiTheme="majorHAnsi"/>
          <w:sz w:val="18"/>
          <w:szCs w:val="18"/>
        </w:rPr>
        <w:softHyphen/>
        <w:t>keösszeg, valamint esedékes kamatösszeg az Alapdevizanemben * (az árfolyamjegyző hitel</w:t>
      </w:r>
      <w:r w:rsidRPr="00952B62">
        <w:rPr>
          <w:rFonts w:asciiTheme="majorHAnsi" w:hAnsiTheme="majorHAnsi"/>
          <w:sz w:val="18"/>
          <w:szCs w:val="18"/>
        </w:rPr>
        <w:softHyphen/>
        <w:t>intézet által a kimutatás keltezésének napjára, illetve az azt megelőző árfolyamjegyzési napra hivatalosan közzétett</w:t>
      </w:r>
      <w:r w:rsidRPr="00952B62">
        <w:rPr>
          <w:rStyle w:val="Bodytext16Bold"/>
          <w:rFonts w:asciiTheme="majorHAnsi" w:hAnsiTheme="majorHAnsi"/>
          <w:sz w:val="18"/>
          <w:szCs w:val="18"/>
        </w:rPr>
        <w:t xml:space="preserve"> vállalati deviza eladási árfolyam</w:t>
      </w:r>
      <w:r w:rsidRPr="00952B62">
        <w:rPr>
          <w:rFonts w:asciiTheme="majorHAnsi" w:hAnsiTheme="majorHAnsi"/>
          <w:sz w:val="18"/>
          <w:szCs w:val="18"/>
        </w:rPr>
        <w:t xml:space="preserve"> mínusz a kötéskori árfolyam plusz árfolyam-puffer), ahol</w:t>
      </w:r>
    </w:p>
    <w:p w:rsidR="00735941" w:rsidRPr="00952B62" w:rsidRDefault="00735941" w:rsidP="00BA2848">
      <w:pPr>
        <w:pStyle w:val="Bodytext120"/>
        <w:shd w:val="clear" w:color="auto" w:fill="auto"/>
        <w:spacing w:after="78" w:line="240" w:lineRule="auto"/>
        <w:ind w:firstLine="0"/>
        <w:jc w:val="both"/>
        <w:rPr>
          <w:rFonts w:asciiTheme="majorHAnsi" w:hAnsiTheme="majorHAnsi"/>
          <w:sz w:val="18"/>
          <w:szCs w:val="18"/>
        </w:rPr>
      </w:pPr>
      <w:r w:rsidRPr="00952B62">
        <w:rPr>
          <w:rFonts w:asciiTheme="majorHAnsi" w:hAnsiTheme="majorHAnsi"/>
          <w:sz w:val="18"/>
          <w:szCs w:val="18"/>
        </w:rPr>
        <w:t>árfolyam puffer =</w:t>
      </w:r>
    </w:p>
    <w:p w:rsidR="00735941" w:rsidRPr="00952B62" w:rsidRDefault="00735941" w:rsidP="00BA2848">
      <w:pPr>
        <w:pStyle w:val="Bodytext160"/>
        <w:numPr>
          <w:ilvl w:val="0"/>
          <w:numId w:val="8"/>
        </w:numPr>
        <w:shd w:val="clear" w:color="auto" w:fill="auto"/>
        <w:tabs>
          <w:tab w:val="left" w:pos="464"/>
        </w:tabs>
        <w:spacing w:before="0" w:after="78" w:line="240" w:lineRule="auto"/>
        <w:ind w:right="20" w:firstLine="0"/>
        <w:jc w:val="left"/>
        <w:rPr>
          <w:rFonts w:asciiTheme="majorHAnsi" w:hAnsiTheme="majorHAnsi"/>
          <w:sz w:val="18"/>
          <w:szCs w:val="18"/>
        </w:rPr>
      </w:pPr>
      <w:r w:rsidRPr="00952B62">
        <w:rPr>
          <w:rFonts w:asciiTheme="majorHAnsi" w:hAnsiTheme="majorHAnsi"/>
          <w:sz w:val="18"/>
          <w:szCs w:val="18"/>
        </w:rPr>
        <w:t>EUR Alapdevizanem esetén:</w:t>
      </w:r>
      <w:r w:rsidR="00BA2848" w:rsidRPr="00952B62">
        <w:rPr>
          <w:rFonts w:asciiTheme="majorHAnsi" w:hAnsiTheme="majorHAnsi"/>
          <w:sz w:val="18"/>
          <w:szCs w:val="18"/>
        </w:rPr>
        <w:t xml:space="preserve"> </w:t>
      </w:r>
      <w:r w:rsidRPr="00952B62">
        <w:rPr>
          <w:rFonts w:asciiTheme="majorHAnsi" w:hAnsiTheme="majorHAnsi"/>
          <w:sz w:val="18"/>
          <w:szCs w:val="18"/>
        </w:rPr>
        <w:t>+3 HUF / alapdeviza;</w:t>
      </w:r>
    </w:p>
    <w:p w:rsidR="00735941" w:rsidRPr="00952B62" w:rsidRDefault="00735941" w:rsidP="00BA2848">
      <w:pPr>
        <w:pStyle w:val="Bodytext160"/>
        <w:numPr>
          <w:ilvl w:val="0"/>
          <w:numId w:val="8"/>
        </w:numPr>
        <w:shd w:val="clear" w:color="auto" w:fill="auto"/>
        <w:tabs>
          <w:tab w:val="left" w:pos="471"/>
        </w:tabs>
        <w:spacing w:before="0" w:after="74" w:line="240" w:lineRule="auto"/>
        <w:ind w:right="20" w:firstLine="0"/>
        <w:jc w:val="left"/>
        <w:rPr>
          <w:rFonts w:asciiTheme="majorHAnsi" w:hAnsiTheme="majorHAnsi"/>
          <w:sz w:val="18"/>
          <w:szCs w:val="18"/>
        </w:rPr>
      </w:pPr>
      <w:r w:rsidRPr="00952B62">
        <w:rPr>
          <w:rFonts w:asciiTheme="majorHAnsi" w:hAnsiTheme="majorHAnsi"/>
          <w:sz w:val="18"/>
          <w:szCs w:val="18"/>
        </w:rPr>
        <w:t>CHF Alapdevizanem esetén:</w:t>
      </w:r>
      <w:r w:rsidR="00BA2848" w:rsidRPr="00952B62">
        <w:rPr>
          <w:rFonts w:asciiTheme="majorHAnsi" w:hAnsiTheme="majorHAnsi"/>
          <w:sz w:val="18"/>
          <w:szCs w:val="18"/>
        </w:rPr>
        <w:t xml:space="preserve"> </w:t>
      </w:r>
      <w:r w:rsidRPr="00952B62">
        <w:rPr>
          <w:rFonts w:asciiTheme="majorHAnsi" w:hAnsiTheme="majorHAnsi"/>
          <w:sz w:val="18"/>
          <w:szCs w:val="18"/>
        </w:rPr>
        <w:t>+2 HUF / alapdeviza;</w:t>
      </w:r>
    </w:p>
    <w:p w:rsidR="00735941" w:rsidRPr="00952B62" w:rsidRDefault="00735941" w:rsidP="00BA2848">
      <w:pPr>
        <w:pStyle w:val="Bodytext160"/>
        <w:numPr>
          <w:ilvl w:val="0"/>
          <w:numId w:val="8"/>
        </w:numPr>
        <w:shd w:val="clear" w:color="auto" w:fill="auto"/>
        <w:tabs>
          <w:tab w:val="left" w:pos="464"/>
        </w:tabs>
        <w:spacing w:before="0" w:after="71" w:line="240" w:lineRule="auto"/>
        <w:ind w:firstLine="0"/>
        <w:rPr>
          <w:rFonts w:asciiTheme="majorHAnsi" w:hAnsiTheme="majorHAnsi"/>
          <w:sz w:val="18"/>
          <w:szCs w:val="18"/>
        </w:rPr>
      </w:pPr>
      <w:r w:rsidRPr="00952B62">
        <w:rPr>
          <w:rFonts w:asciiTheme="majorHAnsi" w:hAnsiTheme="majorHAnsi"/>
          <w:sz w:val="18"/>
          <w:szCs w:val="18"/>
        </w:rPr>
        <w:t>egyéb Alapdevizanem esetén:</w:t>
      </w:r>
      <w:r w:rsidR="00BA2848" w:rsidRPr="00952B62">
        <w:rPr>
          <w:rFonts w:asciiTheme="majorHAnsi" w:hAnsiTheme="majorHAnsi"/>
          <w:sz w:val="18"/>
          <w:szCs w:val="18"/>
        </w:rPr>
        <w:t xml:space="preserve"> </w:t>
      </w:r>
      <w:r w:rsidRPr="00952B62">
        <w:rPr>
          <w:rFonts w:asciiTheme="majorHAnsi" w:hAnsiTheme="majorHAnsi"/>
          <w:sz w:val="18"/>
          <w:szCs w:val="18"/>
        </w:rPr>
        <w:t>+ egyedileg meghatározott HUF / alapdeviza.</w:t>
      </w:r>
    </w:p>
    <w:p w:rsidR="00735941" w:rsidRPr="00952B62" w:rsidRDefault="00735941" w:rsidP="00BA2848">
      <w:pPr>
        <w:pStyle w:val="Szvegtrzs1"/>
        <w:shd w:val="clear" w:color="auto" w:fill="auto"/>
        <w:spacing w:before="0" w:after="123" w:line="240" w:lineRule="auto"/>
        <w:ind w:right="20" w:firstLine="0"/>
        <w:jc w:val="both"/>
        <w:rPr>
          <w:rFonts w:asciiTheme="majorHAnsi" w:hAnsiTheme="majorHAnsi"/>
          <w:sz w:val="18"/>
          <w:szCs w:val="18"/>
        </w:rPr>
      </w:pPr>
      <w:r w:rsidRPr="00952B62">
        <w:rPr>
          <w:rFonts w:asciiTheme="majorHAnsi" w:hAnsiTheme="majorHAnsi"/>
          <w:sz w:val="18"/>
          <w:szCs w:val="18"/>
        </w:rPr>
        <w:t xml:space="preserve">A szerződés futamidő előtti lezárása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a lezáráshoz kapcsolódó fenti előzetes kimutatása</w:t>
      </w:r>
      <w:r w:rsidRPr="00952B62">
        <w:rPr>
          <w:rStyle w:val="BodytextItalic"/>
          <w:rFonts w:asciiTheme="majorHAnsi" w:hAnsiTheme="majorHAnsi"/>
          <w:sz w:val="18"/>
          <w:szCs w:val="18"/>
        </w:rPr>
        <w:t xml:space="preserve"> nem minősül bizonylatnak.</w:t>
      </w:r>
      <w:r w:rsidRPr="00952B62">
        <w:rPr>
          <w:rFonts w:asciiTheme="majorHAnsi" w:hAnsiTheme="majorHAnsi"/>
          <w:sz w:val="18"/>
          <w:szCs w:val="18"/>
        </w:rPr>
        <w:t xml:space="preserve"> A tényleges elszámolás napján a Felek az árfolyamkülönbség és az előzetes árfolyamkülönbség alapján számolnak el egymással.</w:t>
      </w:r>
    </w:p>
    <w:p w:rsidR="00735941" w:rsidRPr="00952B62" w:rsidRDefault="00735941" w:rsidP="00BA2848">
      <w:pPr>
        <w:pStyle w:val="Szvegtrzs1"/>
        <w:numPr>
          <w:ilvl w:val="0"/>
          <w:numId w:val="9"/>
        </w:numPr>
        <w:shd w:val="clear" w:color="auto" w:fill="auto"/>
        <w:tabs>
          <w:tab w:val="left" w:pos="322"/>
        </w:tabs>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t xml:space="preserve">Pénzügyi lízingügyletek tekintetében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a II./10. pontban meghatározott pufferen kívül egyéb árfolyam</w:t>
      </w:r>
      <w:r w:rsidRPr="00952B62">
        <w:rPr>
          <w:rFonts w:asciiTheme="majorHAnsi" w:hAnsiTheme="majorHAnsi"/>
          <w:sz w:val="18"/>
          <w:szCs w:val="18"/>
        </w:rPr>
        <w:softHyphen/>
        <w:t>kockázati puffereket aktuálisan nem határoz meg.</w:t>
      </w:r>
    </w:p>
    <w:p w:rsidR="00735941" w:rsidRPr="00952B62" w:rsidRDefault="00735941" w:rsidP="00BA2848">
      <w:pPr>
        <w:pStyle w:val="Szvegtrzs1"/>
        <w:numPr>
          <w:ilvl w:val="0"/>
          <w:numId w:val="9"/>
        </w:numPr>
        <w:shd w:val="clear" w:color="auto" w:fill="auto"/>
        <w:tabs>
          <w:tab w:val="left" w:pos="322"/>
        </w:tabs>
        <w:spacing w:before="0" w:after="191" w:line="240" w:lineRule="auto"/>
        <w:ind w:right="20" w:firstLine="0"/>
        <w:jc w:val="both"/>
        <w:rPr>
          <w:rFonts w:asciiTheme="majorHAnsi" w:hAnsiTheme="majorHAnsi"/>
          <w:sz w:val="18"/>
          <w:szCs w:val="18"/>
        </w:rPr>
      </w:pPr>
      <w:r w:rsidRPr="00952B62">
        <w:rPr>
          <w:rFonts w:asciiTheme="majorHAnsi" w:hAnsiTheme="majorHAnsi"/>
          <w:sz w:val="18"/>
          <w:szCs w:val="18"/>
        </w:rPr>
        <w:t xml:space="preserve">Pénzügyi lízingügyletek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a Lízingbevevő kérésére készített kimutatások után egyszeri</w:t>
      </w:r>
      <w:r w:rsidRPr="00952B62">
        <w:rPr>
          <w:rStyle w:val="BodytextItalic"/>
          <w:rFonts w:asciiTheme="majorHAnsi" w:hAnsiTheme="majorHAnsi"/>
          <w:sz w:val="18"/>
          <w:szCs w:val="18"/>
        </w:rPr>
        <w:t xml:space="preserve"> kalkulációs díjat</w:t>
      </w:r>
      <w:r w:rsidRPr="00952B62">
        <w:rPr>
          <w:rFonts w:asciiTheme="majorHAnsi" w:hAnsiTheme="majorHAnsi"/>
          <w:sz w:val="18"/>
          <w:szCs w:val="18"/>
        </w:rPr>
        <w:t xml:space="preserve"> számíthat fel, melynek mértéke:</w:t>
      </w:r>
      <w:r w:rsidR="00B62FA7" w:rsidRPr="00952B62">
        <w:rPr>
          <w:rFonts w:asciiTheme="majorHAnsi" w:hAnsiTheme="majorHAnsi"/>
          <w:sz w:val="18"/>
          <w:szCs w:val="18"/>
        </w:rPr>
        <w:t xml:space="preserve"> </w:t>
      </w:r>
      <w:r w:rsidRPr="00952B62">
        <w:rPr>
          <w:rFonts w:asciiTheme="majorHAnsi" w:hAnsiTheme="majorHAnsi"/>
          <w:sz w:val="18"/>
          <w:szCs w:val="18"/>
        </w:rPr>
        <w:t>2000,- Ft I szerződés.</w:t>
      </w:r>
    </w:p>
    <w:p w:rsidR="00735941" w:rsidRPr="00952B62" w:rsidRDefault="00735941" w:rsidP="00BA2848">
      <w:pPr>
        <w:pStyle w:val="Szvegtrzs1"/>
        <w:numPr>
          <w:ilvl w:val="0"/>
          <w:numId w:val="9"/>
        </w:numPr>
        <w:shd w:val="clear" w:color="auto" w:fill="auto"/>
        <w:tabs>
          <w:tab w:val="left" w:pos="315"/>
        </w:tabs>
        <w:spacing w:before="0" w:after="129" w:line="240" w:lineRule="auto"/>
        <w:ind w:right="20" w:firstLine="0"/>
        <w:jc w:val="both"/>
        <w:rPr>
          <w:rFonts w:asciiTheme="majorHAnsi" w:hAnsiTheme="majorHAnsi"/>
          <w:sz w:val="18"/>
          <w:szCs w:val="18"/>
        </w:rPr>
      </w:pPr>
      <w:r w:rsidRPr="00952B62">
        <w:rPr>
          <w:rFonts w:asciiTheme="majorHAnsi" w:hAnsiTheme="majorHAnsi"/>
          <w:sz w:val="18"/>
          <w:szCs w:val="18"/>
        </w:rPr>
        <w:t>Pénzügyi lízingügyletek esetén - a szer</w:t>
      </w:r>
      <w:r w:rsidRPr="00952B62">
        <w:rPr>
          <w:rFonts w:asciiTheme="majorHAnsi" w:hAnsiTheme="majorHAnsi"/>
          <w:sz w:val="18"/>
          <w:szCs w:val="18"/>
        </w:rPr>
        <w:softHyphen/>
        <w:t>ződés vagy a Felek eltérő kikötése hiányában - a késedelmi kamatláb mértéke:</w:t>
      </w:r>
    </w:p>
    <w:p w:rsidR="00735941" w:rsidRPr="00952B62" w:rsidRDefault="00735941" w:rsidP="00BA2848">
      <w:pPr>
        <w:pStyle w:val="Bodytext150"/>
        <w:shd w:val="clear" w:color="auto" w:fill="auto"/>
        <w:spacing w:before="0" w:after="111" w:line="240" w:lineRule="auto"/>
        <w:ind w:right="20" w:firstLine="0"/>
        <w:jc w:val="left"/>
        <w:rPr>
          <w:rFonts w:asciiTheme="majorHAnsi" w:hAnsiTheme="majorHAnsi"/>
          <w:sz w:val="18"/>
          <w:szCs w:val="18"/>
        </w:rPr>
      </w:pPr>
      <w:r w:rsidRPr="00952B62">
        <w:rPr>
          <w:rFonts w:asciiTheme="majorHAnsi" w:hAnsiTheme="majorHAnsi"/>
          <w:sz w:val="18"/>
          <w:szCs w:val="18"/>
        </w:rPr>
        <w:t>a hivatalosan közzétett jegybanki alapkamat mindenkori mértékének kétszerese.</w:t>
      </w:r>
    </w:p>
    <w:p w:rsidR="00735941" w:rsidRPr="00952B62" w:rsidRDefault="00735941" w:rsidP="00BA2848">
      <w:pPr>
        <w:pStyle w:val="Szvegtrzs1"/>
        <w:numPr>
          <w:ilvl w:val="0"/>
          <w:numId w:val="9"/>
        </w:numPr>
        <w:shd w:val="clear" w:color="auto" w:fill="auto"/>
        <w:tabs>
          <w:tab w:val="left" w:pos="322"/>
        </w:tabs>
        <w:spacing w:before="0" w:after="117" w:line="240" w:lineRule="auto"/>
        <w:ind w:right="20" w:firstLine="0"/>
        <w:jc w:val="both"/>
        <w:rPr>
          <w:rFonts w:asciiTheme="majorHAnsi" w:hAnsiTheme="majorHAnsi"/>
          <w:sz w:val="18"/>
          <w:szCs w:val="18"/>
        </w:rPr>
      </w:pPr>
      <w:r w:rsidRPr="00952B62">
        <w:rPr>
          <w:rFonts w:asciiTheme="majorHAnsi" w:hAnsiTheme="majorHAnsi"/>
          <w:sz w:val="18"/>
          <w:szCs w:val="18"/>
        </w:rPr>
        <w:t>Pénzügyi lízingügyletek esetén a követelés és igényérvényesítés, valamint a Lízingbeadó tulajdonjoga érvényesítésével összefüggésben felszámítható átalányösszegek megegyeznek a I./7. pontban rögzítettekkel.</w:t>
      </w:r>
    </w:p>
    <w:p w:rsidR="00735941" w:rsidRPr="00952B62" w:rsidRDefault="00735941" w:rsidP="00BA2848">
      <w:pPr>
        <w:pStyle w:val="Szvegtrzs1"/>
        <w:numPr>
          <w:ilvl w:val="0"/>
          <w:numId w:val="9"/>
        </w:numPr>
        <w:shd w:val="clear" w:color="auto" w:fill="auto"/>
        <w:tabs>
          <w:tab w:val="left" w:pos="308"/>
        </w:tabs>
        <w:spacing w:before="0" w:after="123" w:line="240" w:lineRule="auto"/>
        <w:ind w:right="20" w:firstLine="0"/>
        <w:jc w:val="both"/>
        <w:rPr>
          <w:rFonts w:asciiTheme="majorHAnsi" w:hAnsiTheme="majorHAnsi"/>
          <w:sz w:val="18"/>
          <w:szCs w:val="18"/>
        </w:rPr>
      </w:pPr>
      <w:r w:rsidRPr="00952B62">
        <w:rPr>
          <w:rFonts w:asciiTheme="majorHAnsi" w:hAnsiTheme="majorHAnsi"/>
          <w:sz w:val="18"/>
          <w:szCs w:val="18"/>
        </w:rPr>
        <w:t xml:space="preserve">Lízingelt eszköz visszaszolgáltatási késedelme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által a késedelem minden egyes napjára érvényesíthető kötbér összege megegyezik a lízingdíj egy napra jutó összegével.</w:t>
      </w:r>
    </w:p>
    <w:p w:rsidR="00735941" w:rsidRPr="00952B62" w:rsidRDefault="00735941" w:rsidP="00BA2848">
      <w:pPr>
        <w:pStyle w:val="Szvegtrzs1"/>
        <w:numPr>
          <w:ilvl w:val="0"/>
          <w:numId w:val="9"/>
        </w:numPr>
        <w:shd w:val="clear" w:color="auto" w:fill="auto"/>
        <w:tabs>
          <w:tab w:val="left" w:pos="308"/>
        </w:tabs>
        <w:spacing w:before="0" w:after="129" w:line="240" w:lineRule="auto"/>
        <w:ind w:right="20" w:firstLine="0"/>
        <w:jc w:val="both"/>
        <w:rPr>
          <w:rFonts w:asciiTheme="majorHAnsi" w:hAnsiTheme="majorHAnsi"/>
          <w:sz w:val="18"/>
          <w:szCs w:val="18"/>
        </w:rPr>
      </w:pPr>
      <w:r w:rsidRPr="00952B62">
        <w:rPr>
          <w:rFonts w:asciiTheme="majorHAnsi" w:hAnsiTheme="majorHAnsi"/>
          <w:sz w:val="18"/>
          <w:szCs w:val="18"/>
        </w:rPr>
        <w:t>Gépjármű pénzügyi lízingügylete esetén a a CASCO biztosításra vonatkozó speciális rendelkezések:</w:t>
      </w:r>
    </w:p>
    <w:p w:rsidR="00735941" w:rsidRPr="00952B62" w:rsidRDefault="00735941" w:rsidP="00BA2848">
      <w:pPr>
        <w:pStyle w:val="Bodytext150"/>
        <w:numPr>
          <w:ilvl w:val="0"/>
          <w:numId w:val="8"/>
        </w:numPr>
        <w:shd w:val="clear" w:color="auto" w:fill="auto"/>
        <w:tabs>
          <w:tab w:val="left" w:pos="471"/>
        </w:tabs>
        <w:spacing w:before="0" w:after="120" w:line="240" w:lineRule="auto"/>
        <w:ind w:right="20" w:firstLine="0"/>
        <w:rPr>
          <w:rFonts w:asciiTheme="majorHAnsi" w:hAnsiTheme="majorHAnsi"/>
          <w:sz w:val="18"/>
          <w:szCs w:val="18"/>
        </w:rPr>
      </w:pPr>
      <w:r w:rsidRPr="00952B62">
        <w:rPr>
          <w:rFonts w:asciiTheme="majorHAnsi" w:hAnsiTheme="majorHAnsi"/>
          <w:sz w:val="18"/>
          <w:szCs w:val="18"/>
        </w:rPr>
        <w:t>a CASCO legfeljebb</w:t>
      </w:r>
      <w:r w:rsidRPr="00952B62">
        <w:rPr>
          <w:rStyle w:val="Bodytext15BoldItalic"/>
          <w:rFonts w:asciiTheme="majorHAnsi" w:hAnsiTheme="majorHAnsi"/>
          <w:sz w:val="18"/>
          <w:szCs w:val="18"/>
        </w:rPr>
        <w:t xml:space="preserve"> 30%</w:t>
      </w:r>
      <w:r w:rsidRPr="00952B62">
        <w:rPr>
          <w:rFonts w:asciiTheme="majorHAnsi" w:hAnsiTheme="majorHAnsi"/>
          <w:sz w:val="18"/>
          <w:szCs w:val="18"/>
        </w:rPr>
        <w:t xml:space="preserve"> mértékű önrész mellett köthető; de az önrész nem lehet magasabb, mint a kezdő tőketörlesztésnek személygépjármű esetében a bruttó, haszon</w:t>
      </w:r>
      <w:r w:rsidRPr="00952B62">
        <w:rPr>
          <w:rFonts w:asciiTheme="majorHAnsi" w:hAnsiTheme="majorHAnsi"/>
          <w:sz w:val="18"/>
          <w:szCs w:val="18"/>
        </w:rPr>
        <w:softHyphen/>
        <w:t>gépjármű esetében a nettó vételárra vetített aránya.</w:t>
      </w:r>
    </w:p>
    <w:p w:rsidR="00735941" w:rsidRPr="00952B62" w:rsidRDefault="00735941" w:rsidP="00BA2848">
      <w:pPr>
        <w:pStyle w:val="Bodytext150"/>
        <w:numPr>
          <w:ilvl w:val="0"/>
          <w:numId w:val="8"/>
        </w:numPr>
        <w:shd w:val="clear" w:color="auto" w:fill="auto"/>
        <w:tabs>
          <w:tab w:val="left" w:pos="471"/>
        </w:tabs>
        <w:spacing w:before="0" w:after="0" w:line="240" w:lineRule="auto"/>
        <w:ind w:right="20" w:firstLine="0"/>
        <w:rPr>
          <w:rFonts w:asciiTheme="majorHAnsi" w:hAnsiTheme="majorHAnsi"/>
          <w:sz w:val="18"/>
          <w:szCs w:val="18"/>
        </w:rPr>
      </w:pPr>
      <w:r w:rsidRPr="00952B62">
        <w:rPr>
          <w:rFonts w:asciiTheme="majorHAnsi" w:hAnsiTheme="majorHAnsi"/>
          <w:sz w:val="18"/>
          <w:szCs w:val="18"/>
        </w:rPr>
        <w:t>a CASCO-mentesség szerződéskötéskor előre megfizetendő d</w:t>
      </w:r>
      <w:r w:rsidR="00B62FA7" w:rsidRPr="00952B62">
        <w:rPr>
          <w:rFonts w:asciiTheme="majorHAnsi" w:hAnsiTheme="majorHAnsi"/>
          <w:sz w:val="18"/>
          <w:szCs w:val="18"/>
        </w:rPr>
        <w:t>íja, a finanszírozott összeg (tő</w:t>
      </w:r>
      <w:r w:rsidRPr="00952B62">
        <w:rPr>
          <w:rFonts w:asciiTheme="majorHAnsi" w:hAnsiTheme="majorHAnsi"/>
          <w:sz w:val="18"/>
          <w:szCs w:val="18"/>
        </w:rPr>
        <w:t>keösszeg) 5%-a.</w:t>
      </w:r>
    </w:p>
    <w:p w:rsidR="00735941" w:rsidRPr="00952B62" w:rsidRDefault="00735941" w:rsidP="00BA2848">
      <w:pPr>
        <w:pStyle w:val="Bodytext150"/>
        <w:numPr>
          <w:ilvl w:val="0"/>
          <w:numId w:val="8"/>
        </w:numPr>
        <w:shd w:val="clear" w:color="auto" w:fill="auto"/>
        <w:tabs>
          <w:tab w:val="left" w:pos="471"/>
        </w:tabs>
        <w:spacing w:before="0" w:after="0" w:line="240" w:lineRule="auto"/>
        <w:ind w:right="20" w:firstLine="0"/>
        <w:rPr>
          <w:rFonts w:asciiTheme="majorHAnsi" w:hAnsiTheme="majorHAnsi"/>
          <w:sz w:val="18"/>
          <w:szCs w:val="18"/>
        </w:rPr>
      </w:pPr>
    </w:p>
    <w:p w:rsidR="00735941" w:rsidRPr="00952B62" w:rsidRDefault="00735941" w:rsidP="00BA2848">
      <w:pPr>
        <w:pStyle w:val="Bodytext150"/>
        <w:shd w:val="clear" w:color="auto" w:fill="auto"/>
        <w:tabs>
          <w:tab w:val="left" w:pos="471"/>
        </w:tabs>
        <w:spacing w:before="0" w:after="0" w:line="240" w:lineRule="auto"/>
        <w:ind w:right="20" w:firstLine="0"/>
        <w:rPr>
          <w:rFonts w:asciiTheme="majorHAnsi" w:hAnsiTheme="majorHAnsi"/>
          <w:sz w:val="18"/>
          <w:szCs w:val="18"/>
        </w:rPr>
      </w:pPr>
    </w:p>
    <w:p w:rsidR="00735941" w:rsidRPr="00952B62" w:rsidRDefault="00735941" w:rsidP="00BA2848">
      <w:pPr>
        <w:pStyle w:val="Bodytext120"/>
        <w:shd w:val="clear" w:color="auto" w:fill="auto"/>
        <w:spacing w:after="232" w:line="240" w:lineRule="auto"/>
        <w:ind w:right="300" w:firstLine="0"/>
        <w:rPr>
          <w:rFonts w:asciiTheme="majorHAnsi" w:hAnsiTheme="majorHAnsi"/>
          <w:b/>
          <w:sz w:val="18"/>
          <w:szCs w:val="18"/>
        </w:rPr>
      </w:pPr>
      <w:r w:rsidRPr="00952B62">
        <w:rPr>
          <w:rFonts w:asciiTheme="majorHAnsi" w:hAnsiTheme="majorHAnsi"/>
          <w:b/>
          <w:sz w:val="18"/>
          <w:szCs w:val="18"/>
        </w:rPr>
        <w:t>III. HITELMŰVELETEKHEZ KAPCSOLÓDÓ FELTÉTELEK ÉS RENDELKEZÉSEK</w:t>
      </w:r>
    </w:p>
    <w:p w:rsidR="00735941" w:rsidRPr="00952B62" w:rsidRDefault="00735941" w:rsidP="00BA2848">
      <w:pPr>
        <w:pStyle w:val="Szvegtrzs1"/>
        <w:numPr>
          <w:ilvl w:val="0"/>
          <w:numId w:val="10"/>
        </w:numPr>
        <w:shd w:val="clear" w:color="auto" w:fill="auto"/>
        <w:tabs>
          <w:tab w:val="left" w:pos="294"/>
        </w:tabs>
        <w:spacing w:before="0" w:after="123" w:line="240" w:lineRule="auto"/>
        <w:ind w:right="20" w:firstLine="0"/>
        <w:jc w:val="both"/>
        <w:rPr>
          <w:rFonts w:asciiTheme="majorHAnsi" w:hAnsiTheme="majorHAnsi"/>
          <w:sz w:val="18"/>
          <w:szCs w:val="18"/>
        </w:rPr>
      </w:pPr>
      <w:r w:rsidRPr="00952B62">
        <w:rPr>
          <w:rFonts w:asciiTheme="majorHAnsi" w:hAnsiTheme="majorHAnsi"/>
          <w:sz w:val="18"/>
          <w:szCs w:val="18"/>
        </w:rPr>
        <w:t xml:space="preserve">Az AXON Pénzügyi és Lízing </w:t>
      </w:r>
      <w:r w:rsidR="00952B62">
        <w:rPr>
          <w:rFonts w:asciiTheme="majorHAnsi" w:hAnsiTheme="majorHAnsi"/>
          <w:sz w:val="18"/>
          <w:szCs w:val="18"/>
        </w:rPr>
        <w:t>Zrt.</w:t>
      </w:r>
      <w:r w:rsidRPr="00952B62">
        <w:rPr>
          <w:rFonts w:asciiTheme="majorHAnsi" w:hAnsiTheme="majorHAnsi"/>
          <w:sz w:val="18"/>
          <w:szCs w:val="18"/>
        </w:rPr>
        <w:t xml:space="preserve"> a Hitel- és kölcsönszerző</w:t>
      </w:r>
      <w:r w:rsidRPr="00952B62">
        <w:rPr>
          <w:rFonts w:asciiTheme="majorHAnsi" w:hAnsiTheme="majorHAnsi"/>
          <w:sz w:val="18"/>
          <w:szCs w:val="18"/>
        </w:rPr>
        <w:softHyphen/>
        <w:t>dések ÁSZF-ben meghatározott általános szerződéskötési feltételeken kívül speciális szerződéskötési feltételeket aktuálisan nem határoz meg.</w:t>
      </w:r>
    </w:p>
    <w:p w:rsidR="00735941" w:rsidRPr="00952B62" w:rsidRDefault="00735941" w:rsidP="00BA2848">
      <w:pPr>
        <w:pStyle w:val="Szvegtrzs1"/>
        <w:numPr>
          <w:ilvl w:val="0"/>
          <w:numId w:val="10"/>
        </w:numPr>
        <w:shd w:val="clear" w:color="auto" w:fill="auto"/>
        <w:tabs>
          <w:tab w:val="left" w:pos="308"/>
        </w:tabs>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t xml:space="preserve">Hitelműveletek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egyszeri</w:t>
      </w:r>
      <w:r w:rsidRPr="00952B62">
        <w:rPr>
          <w:rStyle w:val="BodytextItalic"/>
          <w:rFonts w:asciiTheme="majorHAnsi" w:hAnsiTheme="majorHAnsi"/>
          <w:sz w:val="18"/>
          <w:szCs w:val="18"/>
        </w:rPr>
        <w:t xml:space="preserve"> hitelbírálati díjat</w:t>
      </w:r>
      <w:r w:rsidRPr="00952B62">
        <w:rPr>
          <w:rFonts w:asciiTheme="majorHAnsi" w:hAnsiTheme="majorHAnsi"/>
          <w:sz w:val="18"/>
          <w:szCs w:val="18"/>
        </w:rPr>
        <w:t xml:space="preserve"> számíthat fel, melyek mértéke egyedileg kerül meghatározásra.</w:t>
      </w:r>
    </w:p>
    <w:p w:rsidR="00735941" w:rsidRPr="00952B62" w:rsidRDefault="00735941" w:rsidP="00BA2848">
      <w:pPr>
        <w:pStyle w:val="Szvegtrzs1"/>
        <w:numPr>
          <w:ilvl w:val="0"/>
          <w:numId w:val="10"/>
        </w:numPr>
        <w:shd w:val="clear" w:color="auto" w:fill="auto"/>
        <w:tabs>
          <w:tab w:val="left" w:pos="294"/>
        </w:tabs>
        <w:spacing w:before="0" w:after="132" w:line="240" w:lineRule="auto"/>
        <w:ind w:right="20" w:firstLine="0"/>
        <w:jc w:val="both"/>
        <w:rPr>
          <w:rFonts w:asciiTheme="majorHAnsi" w:hAnsiTheme="majorHAnsi"/>
          <w:sz w:val="18"/>
          <w:szCs w:val="18"/>
        </w:rPr>
      </w:pPr>
      <w:r w:rsidRPr="00952B62">
        <w:rPr>
          <w:rFonts w:asciiTheme="majorHAnsi" w:hAnsiTheme="majorHAnsi"/>
          <w:sz w:val="18"/>
          <w:szCs w:val="18"/>
        </w:rPr>
        <w:t xml:space="preserve">A Limit tekintetében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a devizában végzett Hitelműveleteket a Limit aktuális kihasználtságára irányuló kalkuláció napján irányadó, alábbiakban meghatározott kalkulációs árfolyam alapján veszi figyelembe:</w:t>
      </w:r>
    </w:p>
    <w:p w:rsidR="00735941" w:rsidRPr="00952B62" w:rsidRDefault="00735941" w:rsidP="00BA2848">
      <w:pPr>
        <w:pStyle w:val="Bodytext160"/>
        <w:shd w:val="clear" w:color="auto" w:fill="auto"/>
        <w:spacing w:before="0" w:after="106" w:line="240" w:lineRule="auto"/>
        <w:ind w:right="20" w:firstLine="0"/>
        <w:rPr>
          <w:rFonts w:asciiTheme="majorHAnsi" w:hAnsiTheme="majorHAnsi"/>
          <w:sz w:val="18"/>
          <w:szCs w:val="18"/>
        </w:rPr>
      </w:pPr>
      <w:r w:rsidRPr="00952B62">
        <w:rPr>
          <w:rStyle w:val="Bodytext16Bold"/>
          <w:rFonts w:asciiTheme="majorHAnsi" w:hAnsiTheme="majorHAnsi"/>
          <w:sz w:val="18"/>
          <w:szCs w:val="18"/>
        </w:rPr>
        <w:t>kalkulációs árfolyam</w:t>
      </w:r>
      <w:r w:rsidRPr="00952B62">
        <w:rPr>
          <w:rStyle w:val="Bodytext1645ptNotItalic"/>
          <w:rFonts w:asciiTheme="majorHAnsi" w:hAnsiTheme="majorHAnsi"/>
          <w:sz w:val="18"/>
          <w:szCs w:val="18"/>
        </w:rPr>
        <w:t xml:space="preserve"> =</w:t>
      </w:r>
      <w:r w:rsidRPr="00952B62">
        <w:rPr>
          <w:rFonts w:asciiTheme="majorHAnsi" w:hAnsiTheme="majorHAnsi"/>
          <w:sz w:val="18"/>
          <w:szCs w:val="18"/>
        </w:rPr>
        <w:t xml:space="preserve"> a</w:t>
      </w:r>
      <w:r w:rsidRPr="00952B62">
        <w:rPr>
          <w:rStyle w:val="Bodytext16Bold"/>
          <w:rFonts w:asciiTheme="majorHAnsi" w:hAnsiTheme="majorHAnsi"/>
          <w:sz w:val="18"/>
          <w:szCs w:val="18"/>
        </w:rPr>
        <w:t xml:space="preserve"> CIB Bank ZRt</w:t>
      </w:r>
      <w:r w:rsidRPr="00952B62">
        <w:rPr>
          <w:rFonts w:asciiTheme="majorHAnsi" w:hAnsiTheme="majorHAnsi"/>
          <w:sz w:val="18"/>
          <w:szCs w:val="18"/>
        </w:rPr>
        <w:t xml:space="preserve"> hitel</w:t>
      </w:r>
      <w:r w:rsidRPr="00952B62">
        <w:rPr>
          <w:rFonts w:asciiTheme="majorHAnsi" w:hAnsiTheme="majorHAnsi"/>
          <w:sz w:val="18"/>
          <w:szCs w:val="18"/>
        </w:rPr>
        <w:softHyphen/>
        <w:t>intézet által a Limitkalkuláció napjára hivatalo</w:t>
      </w:r>
      <w:r w:rsidRPr="00952B62">
        <w:rPr>
          <w:rFonts w:asciiTheme="majorHAnsi" w:hAnsiTheme="majorHAnsi"/>
          <w:sz w:val="18"/>
          <w:szCs w:val="18"/>
        </w:rPr>
        <w:softHyphen/>
        <w:t>san közzétett, ennek hiányában a Limitkalkulá</w:t>
      </w:r>
      <w:r w:rsidRPr="00952B62">
        <w:rPr>
          <w:rFonts w:asciiTheme="majorHAnsi" w:hAnsiTheme="majorHAnsi"/>
          <w:sz w:val="18"/>
          <w:szCs w:val="18"/>
        </w:rPr>
        <w:softHyphen/>
        <w:t>ció napját megelőző jegyzési napra hivatalosan közzétett</w:t>
      </w:r>
      <w:r w:rsidRPr="00952B62">
        <w:rPr>
          <w:rStyle w:val="Bodytext16Bold"/>
          <w:rFonts w:asciiTheme="majorHAnsi" w:hAnsiTheme="majorHAnsi"/>
          <w:sz w:val="18"/>
          <w:szCs w:val="18"/>
        </w:rPr>
        <w:t xml:space="preserve"> vállalati deviza eladási árfolyam.</w:t>
      </w:r>
    </w:p>
    <w:p w:rsidR="00735941" w:rsidRPr="00952B62" w:rsidRDefault="00735941" w:rsidP="00BA2848">
      <w:pPr>
        <w:pStyle w:val="Szvegtrzs1"/>
        <w:shd w:val="clear" w:color="auto" w:fill="auto"/>
        <w:spacing w:before="0" w:after="123" w:line="240" w:lineRule="auto"/>
        <w:ind w:right="20" w:firstLine="0"/>
        <w:jc w:val="both"/>
        <w:rPr>
          <w:rFonts w:asciiTheme="majorHAnsi" w:hAnsiTheme="majorHAnsi"/>
          <w:sz w:val="18"/>
          <w:szCs w:val="18"/>
        </w:rPr>
      </w:pPr>
      <w:r w:rsidRPr="00952B62">
        <w:rPr>
          <w:rFonts w:asciiTheme="majorHAnsi" w:hAnsiTheme="majorHAnsi"/>
          <w:sz w:val="18"/>
          <w:szCs w:val="18"/>
        </w:rPr>
        <w:t xml:space="preserve">A Limit kalkuláció során a nem HUF devizanemben nyújtott pénzügyi lízing és egyéb pénzügyi szolgáltatások tekintetében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árfolyam-kockázati puffereket aktu</w:t>
      </w:r>
      <w:r w:rsidRPr="00952B62">
        <w:rPr>
          <w:rFonts w:asciiTheme="majorHAnsi" w:hAnsiTheme="majorHAnsi"/>
          <w:sz w:val="18"/>
          <w:szCs w:val="18"/>
        </w:rPr>
        <w:softHyphen/>
        <w:t>álisan nem határoz meg.</w:t>
      </w:r>
    </w:p>
    <w:p w:rsidR="00735941" w:rsidRPr="00952B62" w:rsidRDefault="00735941" w:rsidP="00BA2848">
      <w:pPr>
        <w:pStyle w:val="Szvegtrzs1"/>
        <w:numPr>
          <w:ilvl w:val="0"/>
          <w:numId w:val="10"/>
        </w:numPr>
        <w:shd w:val="clear" w:color="auto" w:fill="auto"/>
        <w:tabs>
          <w:tab w:val="left" w:pos="308"/>
        </w:tabs>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t>A kölcsön Alapdevizanemének Üzletfél kérésére másik devizanemre történő átváltozta</w:t>
      </w:r>
      <w:r w:rsidRPr="00952B62">
        <w:rPr>
          <w:rFonts w:asciiTheme="majorHAnsi" w:hAnsiTheme="majorHAnsi"/>
          <w:sz w:val="18"/>
          <w:szCs w:val="18"/>
        </w:rPr>
        <w:softHyphen/>
        <w:t xml:space="preserve">tása esetén AXON Pénzügyi és Lízing </w:t>
      </w:r>
      <w:r w:rsidR="00952B62">
        <w:rPr>
          <w:rFonts w:asciiTheme="majorHAnsi" w:hAnsiTheme="majorHAnsi"/>
          <w:sz w:val="18"/>
          <w:szCs w:val="18"/>
        </w:rPr>
        <w:t>Zrt.</w:t>
      </w:r>
      <w:r w:rsidRPr="00952B62">
        <w:rPr>
          <w:rFonts w:asciiTheme="majorHAnsi" w:hAnsiTheme="majorHAnsi"/>
          <w:sz w:val="18"/>
          <w:szCs w:val="18"/>
        </w:rPr>
        <w:t xml:space="preserve"> által a konverziós költségeken felül felszámítható átváltási díj mértéke egyedileg kerül meghatározásra.</w:t>
      </w:r>
    </w:p>
    <w:p w:rsidR="00735941" w:rsidRPr="00952B62" w:rsidRDefault="00735941" w:rsidP="00BA2848">
      <w:pPr>
        <w:pStyle w:val="Szvegtrzs1"/>
        <w:numPr>
          <w:ilvl w:val="0"/>
          <w:numId w:val="10"/>
        </w:numPr>
        <w:shd w:val="clear" w:color="auto" w:fill="auto"/>
        <w:tabs>
          <w:tab w:val="left" w:pos="308"/>
        </w:tabs>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t xml:space="preserve">Hitelműveletek tekintetében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részéről a</w:t>
      </w:r>
      <w:r w:rsidRPr="00952B62">
        <w:rPr>
          <w:rStyle w:val="BodytextItalic"/>
          <w:rFonts w:asciiTheme="majorHAnsi" w:hAnsiTheme="majorHAnsi"/>
          <w:sz w:val="18"/>
          <w:szCs w:val="18"/>
        </w:rPr>
        <w:t xml:space="preserve"> referencia kamatláb változása</w:t>
      </w:r>
      <w:r w:rsidRPr="00952B62">
        <w:rPr>
          <w:rFonts w:asciiTheme="majorHAnsi" w:hAnsiTheme="majorHAnsi"/>
          <w:sz w:val="18"/>
          <w:szCs w:val="18"/>
        </w:rPr>
        <w:t xml:space="preserve"> miatt történő egyoldalú kamatmódosítás esetén a kamatszámítások a II./5. pontban foglaltak alapján történnek.</w:t>
      </w:r>
    </w:p>
    <w:p w:rsidR="00735941" w:rsidRPr="00952B62" w:rsidRDefault="00735941" w:rsidP="00BA2848">
      <w:pPr>
        <w:pStyle w:val="Szvegtrzs1"/>
        <w:numPr>
          <w:ilvl w:val="0"/>
          <w:numId w:val="10"/>
        </w:numPr>
        <w:shd w:val="clear" w:color="auto" w:fill="auto"/>
        <w:tabs>
          <w:tab w:val="left" w:pos="308"/>
        </w:tabs>
        <w:spacing w:before="0" w:after="117" w:line="240" w:lineRule="auto"/>
        <w:ind w:right="20" w:firstLine="0"/>
        <w:jc w:val="both"/>
        <w:rPr>
          <w:rFonts w:asciiTheme="majorHAnsi" w:hAnsiTheme="majorHAnsi"/>
          <w:sz w:val="18"/>
          <w:szCs w:val="18"/>
        </w:rPr>
      </w:pPr>
      <w:r w:rsidRPr="00952B62">
        <w:rPr>
          <w:rFonts w:asciiTheme="majorHAnsi" w:hAnsiTheme="majorHAnsi"/>
          <w:sz w:val="18"/>
          <w:szCs w:val="18"/>
        </w:rPr>
        <w:lastRenderedPageBreak/>
        <w:t xml:space="preserve">Hitelműveletek tekintetében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Lízingbeadó által érvényesített egyoldalú ka</w:t>
      </w:r>
      <w:r w:rsidRPr="00952B62">
        <w:rPr>
          <w:rFonts w:asciiTheme="majorHAnsi" w:hAnsiTheme="majorHAnsi"/>
          <w:sz w:val="18"/>
          <w:szCs w:val="18"/>
        </w:rPr>
        <w:softHyphen/>
        <w:t>matváltoztatás a referencia kamatláb érték</w:t>
      </w:r>
      <w:r w:rsidRPr="00952B62">
        <w:rPr>
          <w:rFonts w:asciiTheme="majorHAnsi" w:hAnsiTheme="majorHAnsi"/>
          <w:sz w:val="18"/>
          <w:szCs w:val="18"/>
        </w:rPr>
        <w:softHyphen/>
        <w:t>napja tárgyhónapjának első napjával lép hatályba. A szerződés ettől eltérő hatályba lépést is meghatározhat.</w:t>
      </w:r>
    </w:p>
    <w:p w:rsidR="00735941" w:rsidRPr="00952B62" w:rsidRDefault="00735941" w:rsidP="00BA2848">
      <w:pPr>
        <w:pStyle w:val="Szvegtrzs1"/>
        <w:numPr>
          <w:ilvl w:val="0"/>
          <w:numId w:val="10"/>
        </w:numPr>
        <w:shd w:val="clear" w:color="auto" w:fill="auto"/>
        <w:tabs>
          <w:tab w:val="left" w:pos="308"/>
        </w:tabs>
        <w:spacing w:before="0" w:after="123" w:line="240" w:lineRule="auto"/>
        <w:ind w:right="20" w:firstLine="0"/>
        <w:jc w:val="both"/>
        <w:rPr>
          <w:rFonts w:asciiTheme="majorHAnsi" w:hAnsiTheme="majorHAnsi"/>
          <w:sz w:val="18"/>
          <w:szCs w:val="18"/>
        </w:rPr>
      </w:pPr>
      <w:r w:rsidRPr="00952B62">
        <w:rPr>
          <w:rFonts w:asciiTheme="majorHAnsi" w:hAnsiTheme="majorHAnsi"/>
          <w:sz w:val="18"/>
          <w:szCs w:val="18"/>
        </w:rPr>
        <w:t>Hitelműveletek tekintetében, eltérő</w:t>
      </w:r>
      <w:r w:rsidRPr="00952B62">
        <w:rPr>
          <w:rStyle w:val="BodytextItalic"/>
          <w:rFonts w:asciiTheme="majorHAnsi" w:hAnsiTheme="majorHAnsi"/>
          <w:sz w:val="18"/>
          <w:szCs w:val="18"/>
        </w:rPr>
        <w:t xml:space="preserve"> Alapde</w:t>
      </w:r>
      <w:r w:rsidRPr="00952B62">
        <w:rPr>
          <w:rStyle w:val="BodytextItalic"/>
          <w:rFonts w:asciiTheme="majorHAnsi" w:hAnsiTheme="majorHAnsi"/>
          <w:sz w:val="18"/>
          <w:szCs w:val="18"/>
        </w:rPr>
        <w:softHyphen/>
        <w:t>vizanem</w:t>
      </w:r>
      <w:r w:rsidRPr="00952B62">
        <w:rPr>
          <w:rFonts w:asciiTheme="majorHAnsi" w:hAnsiTheme="majorHAnsi"/>
          <w:sz w:val="18"/>
          <w:szCs w:val="18"/>
        </w:rPr>
        <w:t xml:space="preserve"> és</w:t>
      </w:r>
      <w:r w:rsidRPr="00952B62">
        <w:rPr>
          <w:rStyle w:val="BodytextItalic"/>
          <w:rFonts w:asciiTheme="majorHAnsi" w:hAnsiTheme="majorHAnsi"/>
          <w:sz w:val="18"/>
          <w:szCs w:val="18"/>
        </w:rPr>
        <w:t xml:space="preserve"> Számlázási devizanem</w:t>
      </w:r>
      <w:r w:rsidRPr="00952B62">
        <w:rPr>
          <w:rFonts w:asciiTheme="majorHAnsi" w:hAnsiTheme="majorHAnsi"/>
          <w:sz w:val="18"/>
          <w:szCs w:val="18"/>
        </w:rPr>
        <w:t xml:space="preserve"> esetén az irányadó</w:t>
      </w:r>
      <w:r w:rsidRPr="00952B62">
        <w:rPr>
          <w:rStyle w:val="BodytextItalic"/>
          <w:rFonts w:asciiTheme="majorHAnsi" w:hAnsiTheme="majorHAnsi"/>
          <w:sz w:val="18"/>
          <w:szCs w:val="18"/>
        </w:rPr>
        <w:t xml:space="preserve"> kötéskori árfolyam</w:t>
      </w:r>
      <w:r w:rsidRPr="00952B62">
        <w:rPr>
          <w:rFonts w:asciiTheme="majorHAnsi" w:hAnsiTheme="majorHAnsi"/>
          <w:sz w:val="18"/>
          <w:szCs w:val="18"/>
        </w:rPr>
        <w:t xml:space="preserve"> meghatározása a II./7. pontban foglaltak alapján történik.</w:t>
      </w:r>
    </w:p>
    <w:p w:rsidR="00735941" w:rsidRPr="00952B62" w:rsidRDefault="00735941" w:rsidP="00BA2848">
      <w:pPr>
        <w:pStyle w:val="Szvegtrzs1"/>
        <w:numPr>
          <w:ilvl w:val="0"/>
          <w:numId w:val="10"/>
        </w:numPr>
        <w:shd w:val="clear" w:color="auto" w:fill="auto"/>
        <w:tabs>
          <w:tab w:val="left" w:pos="308"/>
        </w:tabs>
        <w:spacing w:before="0" w:line="240" w:lineRule="auto"/>
        <w:ind w:right="20" w:firstLine="0"/>
        <w:jc w:val="both"/>
        <w:rPr>
          <w:rFonts w:asciiTheme="majorHAnsi" w:hAnsiTheme="majorHAnsi"/>
          <w:sz w:val="18"/>
          <w:szCs w:val="18"/>
        </w:rPr>
      </w:pPr>
      <w:r w:rsidRPr="00952B62">
        <w:rPr>
          <w:rFonts w:asciiTheme="majorHAnsi" w:hAnsiTheme="majorHAnsi"/>
          <w:sz w:val="18"/>
          <w:szCs w:val="18"/>
        </w:rPr>
        <w:t>Hitelműveletek tekintetében, eltérő Alap</w:t>
      </w:r>
      <w:r w:rsidRPr="00952B62">
        <w:rPr>
          <w:rFonts w:asciiTheme="majorHAnsi" w:hAnsiTheme="majorHAnsi"/>
          <w:sz w:val="18"/>
          <w:szCs w:val="18"/>
        </w:rPr>
        <w:softHyphen/>
        <w:t>devizanem és Számlázási devizanem esetén az árfolyamváltozások hatásának</w:t>
      </w:r>
      <w:r w:rsidRPr="00952B62">
        <w:rPr>
          <w:rStyle w:val="BodytextItalic"/>
          <w:rFonts w:asciiTheme="majorHAnsi" w:hAnsiTheme="majorHAnsi"/>
          <w:sz w:val="18"/>
          <w:szCs w:val="18"/>
        </w:rPr>
        <w:t xml:space="preserve"> (árfolyamkü</w:t>
      </w:r>
      <w:r w:rsidRPr="00952B62">
        <w:rPr>
          <w:rStyle w:val="BodytextItalic"/>
          <w:rFonts w:asciiTheme="majorHAnsi" w:hAnsiTheme="majorHAnsi"/>
          <w:sz w:val="18"/>
          <w:szCs w:val="18"/>
        </w:rPr>
        <w:softHyphen/>
        <w:t>lönbség)</w:t>
      </w:r>
      <w:r w:rsidRPr="00952B62">
        <w:rPr>
          <w:rFonts w:asciiTheme="majorHAnsi" w:hAnsiTheme="majorHAnsi"/>
          <w:sz w:val="18"/>
          <w:szCs w:val="18"/>
        </w:rPr>
        <w:t xml:space="preserve"> Üzletféllel történő elszámolása a H./8. pontban foglaltak alapján történik.</w:t>
      </w:r>
    </w:p>
    <w:p w:rsidR="00735941" w:rsidRPr="00952B62" w:rsidRDefault="00735941" w:rsidP="00BA2848">
      <w:pPr>
        <w:pStyle w:val="Szvegtrzs1"/>
        <w:numPr>
          <w:ilvl w:val="0"/>
          <w:numId w:val="10"/>
        </w:numPr>
        <w:shd w:val="clear" w:color="auto" w:fill="auto"/>
        <w:tabs>
          <w:tab w:val="left" w:pos="315"/>
        </w:tabs>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t>Hitelműveletek tekintetében</w:t>
      </w:r>
      <w:r w:rsidRPr="00952B62">
        <w:rPr>
          <w:rStyle w:val="BodytextItalic"/>
          <w:rFonts w:asciiTheme="majorHAnsi" w:hAnsiTheme="majorHAnsi"/>
          <w:sz w:val="18"/>
          <w:szCs w:val="18"/>
        </w:rPr>
        <w:t xml:space="preserve"> utólagos árfo</w:t>
      </w:r>
      <w:r w:rsidRPr="00952B62">
        <w:rPr>
          <w:rStyle w:val="BodytextItalic"/>
          <w:rFonts w:asciiTheme="majorHAnsi" w:hAnsiTheme="majorHAnsi"/>
          <w:sz w:val="18"/>
          <w:szCs w:val="18"/>
        </w:rPr>
        <w:softHyphen/>
        <w:t>lyamkülönbség</w:t>
      </w:r>
      <w:r w:rsidRPr="00952B62">
        <w:rPr>
          <w:rFonts w:asciiTheme="majorHAnsi" w:hAnsiTheme="majorHAnsi"/>
          <w:sz w:val="18"/>
          <w:szCs w:val="18"/>
        </w:rPr>
        <w:t xml:space="preserve"> számolható el, a II./9. pontban foglaltak alapján.</w:t>
      </w:r>
    </w:p>
    <w:p w:rsidR="00735941" w:rsidRPr="00952B62" w:rsidRDefault="00735941" w:rsidP="00BA2848">
      <w:pPr>
        <w:pStyle w:val="Szvegtrzs1"/>
        <w:numPr>
          <w:ilvl w:val="0"/>
          <w:numId w:val="10"/>
        </w:numPr>
        <w:shd w:val="clear" w:color="auto" w:fill="auto"/>
        <w:tabs>
          <w:tab w:val="left" w:pos="308"/>
        </w:tabs>
        <w:spacing w:before="0" w:after="123" w:line="240" w:lineRule="auto"/>
        <w:ind w:right="20" w:firstLine="0"/>
        <w:jc w:val="both"/>
        <w:rPr>
          <w:rFonts w:asciiTheme="majorHAnsi" w:hAnsiTheme="majorHAnsi"/>
          <w:sz w:val="18"/>
          <w:szCs w:val="18"/>
        </w:rPr>
      </w:pPr>
      <w:r w:rsidRPr="00952B62">
        <w:rPr>
          <w:rFonts w:asciiTheme="majorHAnsi" w:hAnsiTheme="majorHAnsi"/>
          <w:sz w:val="18"/>
          <w:szCs w:val="18"/>
        </w:rPr>
        <w:t>Hitelműveletek tekintetében</w:t>
      </w:r>
      <w:r w:rsidRPr="00952B62">
        <w:rPr>
          <w:rStyle w:val="BodytextItalic"/>
          <w:rFonts w:asciiTheme="majorHAnsi" w:hAnsiTheme="majorHAnsi"/>
          <w:sz w:val="18"/>
          <w:szCs w:val="18"/>
        </w:rPr>
        <w:t xml:space="preserve"> előzetes árfo</w:t>
      </w:r>
      <w:r w:rsidRPr="00952B62">
        <w:rPr>
          <w:rStyle w:val="BodytextItalic"/>
          <w:rFonts w:asciiTheme="majorHAnsi" w:hAnsiTheme="majorHAnsi"/>
          <w:sz w:val="18"/>
          <w:szCs w:val="18"/>
        </w:rPr>
        <w:softHyphen/>
        <w:t>lyamkülönbség</w:t>
      </w:r>
      <w:r w:rsidRPr="00952B62">
        <w:rPr>
          <w:rFonts w:asciiTheme="majorHAnsi" w:hAnsiTheme="majorHAnsi"/>
          <w:sz w:val="18"/>
          <w:szCs w:val="18"/>
        </w:rPr>
        <w:t xml:space="preserve"> számolható el, a II./10. pontban foglaltak alapján.</w:t>
      </w:r>
    </w:p>
    <w:p w:rsidR="00735941" w:rsidRPr="00952B62" w:rsidRDefault="00735941" w:rsidP="00BA2848">
      <w:pPr>
        <w:pStyle w:val="Szvegtrzs1"/>
        <w:numPr>
          <w:ilvl w:val="0"/>
          <w:numId w:val="10"/>
        </w:numPr>
        <w:shd w:val="clear" w:color="auto" w:fill="auto"/>
        <w:tabs>
          <w:tab w:val="left" w:pos="308"/>
        </w:tabs>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t xml:space="preserve">Hitelműveletek tekintetében az AXON Pénzügyi és Lízing </w:t>
      </w:r>
      <w:r w:rsidR="00952B62">
        <w:rPr>
          <w:rFonts w:asciiTheme="majorHAnsi" w:hAnsiTheme="majorHAnsi"/>
          <w:sz w:val="18"/>
          <w:szCs w:val="18"/>
        </w:rPr>
        <w:t>Zrt.</w:t>
      </w:r>
      <w:r w:rsidRPr="00952B62">
        <w:rPr>
          <w:rFonts w:asciiTheme="majorHAnsi" w:hAnsiTheme="majorHAnsi"/>
          <w:sz w:val="18"/>
          <w:szCs w:val="18"/>
        </w:rPr>
        <w:t>, a II./10. pontban meghatározott pufferen kívül egyéb árfolyam-kockázati puffereket aktuálisan nem határoz meg.</w:t>
      </w:r>
    </w:p>
    <w:p w:rsidR="00735941" w:rsidRPr="00952B62" w:rsidRDefault="00735941" w:rsidP="00BA2848">
      <w:pPr>
        <w:pStyle w:val="Szvegtrzs1"/>
        <w:numPr>
          <w:ilvl w:val="0"/>
          <w:numId w:val="10"/>
        </w:numPr>
        <w:shd w:val="clear" w:color="auto" w:fill="auto"/>
        <w:tabs>
          <w:tab w:val="left" w:pos="315"/>
        </w:tabs>
        <w:spacing w:before="0" w:after="184" w:line="240" w:lineRule="auto"/>
        <w:ind w:right="20" w:firstLine="0"/>
        <w:jc w:val="both"/>
        <w:rPr>
          <w:rFonts w:asciiTheme="majorHAnsi" w:hAnsiTheme="majorHAnsi"/>
          <w:sz w:val="18"/>
          <w:szCs w:val="18"/>
        </w:rPr>
      </w:pPr>
      <w:r w:rsidRPr="00952B62">
        <w:rPr>
          <w:rFonts w:asciiTheme="majorHAnsi" w:hAnsiTheme="majorHAnsi"/>
          <w:sz w:val="18"/>
          <w:szCs w:val="18"/>
        </w:rPr>
        <w:t xml:space="preserve">Hitelműveletek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az Üzletfél kérésére készített kimutatások után egyszeri</w:t>
      </w:r>
      <w:r w:rsidRPr="00952B62">
        <w:rPr>
          <w:rStyle w:val="BodytextItalic"/>
          <w:rFonts w:asciiTheme="majorHAnsi" w:hAnsiTheme="majorHAnsi"/>
          <w:sz w:val="18"/>
          <w:szCs w:val="18"/>
        </w:rPr>
        <w:t xml:space="preserve"> kalkulációs díjat</w:t>
      </w:r>
      <w:r w:rsidRPr="00952B62">
        <w:rPr>
          <w:rFonts w:asciiTheme="majorHAnsi" w:hAnsiTheme="majorHAnsi"/>
          <w:sz w:val="18"/>
          <w:szCs w:val="18"/>
        </w:rPr>
        <w:t xml:space="preserve"> számíthat fel, melynek mértéke:</w:t>
      </w:r>
      <w:r w:rsidR="00B62FA7" w:rsidRPr="00952B62">
        <w:rPr>
          <w:rFonts w:asciiTheme="majorHAnsi" w:hAnsiTheme="majorHAnsi"/>
          <w:sz w:val="18"/>
          <w:szCs w:val="18"/>
        </w:rPr>
        <w:t xml:space="preserve"> </w:t>
      </w:r>
      <w:r w:rsidRPr="00952B62">
        <w:rPr>
          <w:rFonts w:asciiTheme="majorHAnsi" w:hAnsiTheme="majorHAnsi"/>
          <w:sz w:val="18"/>
          <w:szCs w:val="18"/>
        </w:rPr>
        <w:t>2000,- Ft/szerződés.</w:t>
      </w:r>
    </w:p>
    <w:p w:rsidR="00735941" w:rsidRPr="00952B62" w:rsidRDefault="00735941" w:rsidP="00BA2848">
      <w:pPr>
        <w:pStyle w:val="Szvegtrzs1"/>
        <w:numPr>
          <w:ilvl w:val="0"/>
          <w:numId w:val="10"/>
        </w:numPr>
        <w:shd w:val="clear" w:color="auto" w:fill="auto"/>
        <w:tabs>
          <w:tab w:val="left" w:pos="308"/>
        </w:tabs>
        <w:spacing w:before="0" w:after="132" w:line="240" w:lineRule="auto"/>
        <w:ind w:right="20" w:firstLine="0"/>
        <w:jc w:val="both"/>
        <w:rPr>
          <w:rFonts w:asciiTheme="majorHAnsi" w:hAnsiTheme="majorHAnsi"/>
          <w:sz w:val="18"/>
          <w:szCs w:val="18"/>
        </w:rPr>
      </w:pPr>
      <w:r w:rsidRPr="00952B62">
        <w:rPr>
          <w:rFonts w:asciiTheme="majorHAnsi" w:hAnsiTheme="majorHAnsi"/>
          <w:sz w:val="18"/>
          <w:szCs w:val="18"/>
        </w:rPr>
        <w:t>Hitelműveletek esetén - a szerződés vagy a Felek eltérő kikötése hiányában - a késedel</w:t>
      </w:r>
      <w:r w:rsidRPr="00952B62">
        <w:rPr>
          <w:rFonts w:asciiTheme="majorHAnsi" w:hAnsiTheme="majorHAnsi"/>
          <w:sz w:val="18"/>
          <w:szCs w:val="18"/>
        </w:rPr>
        <w:softHyphen/>
        <w:t>mi kamat-láb mértéke:</w:t>
      </w:r>
    </w:p>
    <w:p w:rsidR="00735941" w:rsidRPr="00952B62" w:rsidRDefault="00735941" w:rsidP="00BA2848">
      <w:pPr>
        <w:pStyle w:val="Bodytext150"/>
        <w:shd w:val="clear" w:color="auto" w:fill="auto"/>
        <w:spacing w:before="0" w:after="111" w:line="240" w:lineRule="auto"/>
        <w:ind w:right="20" w:firstLine="0"/>
        <w:rPr>
          <w:rFonts w:asciiTheme="majorHAnsi" w:hAnsiTheme="majorHAnsi"/>
          <w:sz w:val="18"/>
          <w:szCs w:val="18"/>
        </w:rPr>
      </w:pPr>
      <w:r w:rsidRPr="00952B62">
        <w:rPr>
          <w:rFonts w:asciiTheme="majorHAnsi" w:hAnsiTheme="majorHAnsi"/>
          <w:sz w:val="18"/>
          <w:szCs w:val="18"/>
        </w:rPr>
        <w:t>a hivatalosan közzétett jegybanki alapkamat mindenkori mértékének kétszerese.</w:t>
      </w:r>
    </w:p>
    <w:p w:rsidR="00735941" w:rsidRPr="00952B62" w:rsidRDefault="00735941" w:rsidP="00BA2848">
      <w:pPr>
        <w:pStyle w:val="Szvegtrzs1"/>
        <w:numPr>
          <w:ilvl w:val="0"/>
          <w:numId w:val="10"/>
        </w:numPr>
        <w:shd w:val="clear" w:color="auto" w:fill="auto"/>
        <w:tabs>
          <w:tab w:val="left" w:pos="308"/>
        </w:tabs>
        <w:spacing w:before="0" w:after="117" w:line="240" w:lineRule="auto"/>
        <w:ind w:right="20" w:firstLine="0"/>
        <w:jc w:val="both"/>
        <w:rPr>
          <w:rFonts w:asciiTheme="majorHAnsi" w:hAnsiTheme="majorHAnsi"/>
          <w:sz w:val="18"/>
          <w:szCs w:val="18"/>
        </w:rPr>
      </w:pPr>
      <w:r w:rsidRPr="00952B62">
        <w:rPr>
          <w:rFonts w:asciiTheme="majorHAnsi" w:hAnsiTheme="majorHAnsi"/>
          <w:sz w:val="18"/>
          <w:szCs w:val="18"/>
        </w:rPr>
        <w:t>Hitelműveletek esetén a követelés és igényérvényesítés, valamint a biztosíték érvé</w:t>
      </w:r>
      <w:r w:rsidRPr="00952B62">
        <w:rPr>
          <w:rFonts w:asciiTheme="majorHAnsi" w:hAnsiTheme="majorHAnsi"/>
          <w:sz w:val="18"/>
          <w:szCs w:val="18"/>
        </w:rPr>
        <w:softHyphen/>
        <w:t>nyesítéssel összefüggésben felszámítható átalányösszegek megegyeznek a I./7. pontban rögzítettekkel.</w:t>
      </w:r>
    </w:p>
    <w:p w:rsidR="00735941" w:rsidRPr="00952B62" w:rsidRDefault="00735941" w:rsidP="00BA2848">
      <w:pPr>
        <w:pStyle w:val="Szvegtrzs1"/>
        <w:numPr>
          <w:ilvl w:val="0"/>
          <w:numId w:val="10"/>
        </w:numPr>
        <w:shd w:val="clear" w:color="auto" w:fill="auto"/>
        <w:tabs>
          <w:tab w:val="left" w:pos="308"/>
        </w:tabs>
        <w:spacing w:before="0" w:after="132" w:line="240" w:lineRule="auto"/>
        <w:ind w:right="20" w:firstLine="0"/>
        <w:jc w:val="both"/>
        <w:rPr>
          <w:rFonts w:asciiTheme="majorHAnsi" w:hAnsiTheme="majorHAnsi"/>
          <w:sz w:val="18"/>
          <w:szCs w:val="18"/>
        </w:rPr>
      </w:pPr>
      <w:r w:rsidRPr="00952B62">
        <w:rPr>
          <w:rFonts w:asciiTheme="majorHAnsi" w:hAnsiTheme="majorHAnsi"/>
          <w:sz w:val="18"/>
          <w:szCs w:val="18"/>
        </w:rPr>
        <w:t xml:space="preserve">Hitelműveletek esetén az AXON Pénzügyi és Lízing </w:t>
      </w:r>
      <w:r w:rsidR="00952B62">
        <w:rPr>
          <w:rFonts w:asciiTheme="majorHAnsi" w:hAnsiTheme="majorHAnsi"/>
          <w:sz w:val="18"/>
          <w:szCs w:val="18"/>
        </w:rPr>
        <w:t>Zrt.</w:t>
      </w:r>
      <w:r w:rsidRPr="00952B62">
        <w:rPr>
          <w:rFonts w:asciiTheme="majorHAnsi" w:hAnsiTheme="majorHAnsi"/>
          <w:sz w:val="18"/>
          <w:szCs w:val="18"/>
        </w:rPr>
        <w:t xml:space="preserve"> által a Zálogkötelezettel szemben érvényesíthető kötbér mértéke:</w:t>
      </w:r>
    </w:p>
    <w:p w:rsidR="00735941" w:rsidRPr="00952B62" w:rsidRDefault="00735941" w:rsidP="00BA2848">
      <w:pPr>
        <w:pStyle w:val="Bodytext150"/>
        <w:shd w:val="clear" w:color="auto" w:fill="auto"/>
        <w:spacing w:before="0" w:after="229" w:line="240" w:lineRule="auto"/>
        <w:ind w:right="20" w:firstLine="0"/>
        <w:rPr>
          <w:rFonts w:asciiTheme="majorHAnsi" w:hAnsiTheme="majorHAnsi"/>
          <w:sz w:val="18"/>
          <w:szCs w:val="18"/>
        </w:rPr>
      </w:pPr>
      <w:r w:rsidRPr="00952B62">
        <w:rPr>
          <w:rFonts w:asciiTheme="majorHAnsi" w:hAnsiTheme="majorHAnsi"/>
          <w:sz w:val="18"/>
          <w:szCs w:val="18"/>
        </w:rPr>
        <w:t>az aktuálisan fennálló tőkekövetelés összegé</w:t>
      </w:r>
      <w:r w:rsidRPr="00952B62">
        <w:rPr>
          <w:rFonts w:asciiTheme="majorHAnsi" w:hAnsiTheme="majorHAnsi"/>
          <w:sz w:val="18"/>
          <w:szCs w:val="18"/>
        </w:rPr>
        <w:softHyphen/>
        <w:t>nek évi 20%-a, amely az érvényesítés meg</w:t>
      </w:r>
      <w:r w:rsidRPr="00952B62">
        <w:rPr>
          <w:rFonts w:asciiTheme="majorHAnsi" w:hAnsiTheme="majorHAnsi"/>
          <w:sz w:val="18"/>
          <w:szCs w:val="18"/>
        </w:rPr>
        <w:softHyphen/>
        <w:t>nyíltának napjától minden naptári napra felszá</w:t>
      </w:r>
      <w:r w:rsidRPr="00952B62">
        <w:rPr>
          <w:rFonts w:asciiTheme="majorHAnsi" w:hAnsiTheme="majorHAnsi"/>
          <w:sz w:val="18"/>
          <w:szCs w:val="18"/>
        </w:rPr>
        <w:softHyphen/>
        <w:t>mításra ker</w:t>
      </w:r>
      <w:r w:rsidR="00B62FA7" w:rsidRPr="00952B62">
        <w:rPr>
          <w:rFonts w:asciiTheme="majorHAnsi" w:hAnsiTheme="majorHAnsi"/>
          <w:sz w:val="18"/>
          <w:szCs w:val="18"/>
        </w:rPr>
        <w:t>ülhet 30 napos hónap és 360 napo</w:t>
      </w:r>
      <w:r w:rsidRPr="00952B62">
        <w:rPr>
          <w:rFonts w:asciiTheme="majorHAnsi" w:hAnsiTheme="majorHAnsi"/>
          <w:sz w:val="18"/>
          <w:szCs w:val="18"/>
        </w:rPr>
        <w:t>s év figyelembevételével.</w:t>
      </w:r>
    </w:p>
    <w:p w:rsidR="00735941" w:rsidRPr="00952B62" w:rsidRDefault="00735941" w:rsidP="00BA2848">
      <w:pPr>
        <w:pStyle w:val="Szvegtrzs1"/>
        <w:numPr>
          <w:ilvl w:val="0"/>
          <w:numId w:val="10"/>
        </w:numPr>
        <w:shd w:val="clear" w:color="auto" w:fill="auto"/>
        <w:tabs>
          <w:tab w:val="left" w:pos="308"/>
        </w:tabs>
        <w:spacing w:before="0" w:after="132" w:line="240" w:lineRule="auto"/>
        <w:ind w:right="20" w:firstLine="0"/>
        <w:jc w:val="both"/>
        <w:rPr>
          <w:rFonts w:asciiTheme="majorHAnsi" w:hAnsiTheme="majorHAnsi"/>
          <w:sz w:val="18"/>
          <w:szCs w:val="18"/>
        </w:rPr>
      </w:pPr>
      <w:r w:rsidRPr="00952B62">
        <w:rPr>
          <w:rFonts w:asciiTheme="majorHAnsi" w:hAnsiTheme="majorHAnsi"/>
          <w:sz w:val="18"/>
          <w:szCs w:val="18"/>
        </w:rPr>
        <w:t>Hitelműveletek esetén felszámítható szerződésmódosítási díj mértéke:</w:t>
      </w:r>
    </w:p>
    <w:p w:rsidR="00735941" w:rsidRPr="00952B62" w:rsidRDefault="00735941" w:rsidP="00BA2848">
      <w:pPr>
        <w:pStyle w:val="Bodytext150"/>
        <w:shd w:val="clear" w:color="auto" w:fill="auto"/>
        <w:spacing w:before="0" w:after="229" w:line="240" w:lineRule="auto"/>
        <w:ind w:right="20" w:firstLine="0"/>
        <w:rPr>
          <w:rFonts w:asciiTheme="majorHAnsi" w:hAnsiTheme="majorHAnsi"/>
          <w:sz w:val="18"/>
          <w:szCs w:val="18"/>
        </w:rPr>
      </w:pPr>
      <w:r w:rsidRPr="00952B62">
        <w:rPr>
          <w:rFonts w:asciiTheme="majorHAnsi" w:hAnsiTheme="majorHAnsi"/>
          <w:sz w:val="18"/>
          <w:szCs w:val="18"/>
        </w:rPr>
        <w:t>az esedékességkor meg nem fizetett tőkekö</w:t>
      </w:r>
      <w:r w:rsidRPr="00952B62">
        <w:rPr>
          <w:rFonts w:asciiTheme="majorHAnsi" w:hAnsiTheme="majorHAnsi"/>
          <w:sz w:val="18"/>
          <w:szCs w:val="18"/>
        </w:rPr>
        <w:softHyphen/>
        <w:t>vetelés, valamint a jövőben esedékessé váló tőkekövetelés és</w:t>
      </w:r>
      <w:r w:rsidRPr="00952B62">
        <w:rPr>
          <w:rStyle w:val="Bodytext15Italic"/>
          <w:rFonts w:asciiTheme="majorHAnsi" w:hAnsiTheme="majorHAnsi"/>
          <w:sz w:val="18"/>
          <w:szCs w:val="18"/>
        </w:rPr>
        <w:t xml:space="preserve"> az arra</w:t>
      </w:r>
      <w:r w:rsidRPr="00952B62">
        <w:rPr>
          <w:rFonts w:asciiTheme="majorHAnsi" w:hAnsiTheme="majorHAnsi"/>
          <w:sz w:val="18"/>
          <w:szCs w:val="18"/>
        </w:rPr>
        <w:t xml:space="preserve"> számított árfolyamkü</w:t>
      </w:r>
      <w:r w:rsidRPr="00952B62">
        <w:rPr>
          <w:rFonts w:asciiTheme="majorHAnsi" w:hAnsiTheme="majorHAnsi"/>
          <w:sz w:val="18"/>
          <w:szCs w:val="18"/>
        </w:rPr>
        <w:softHyphen/>
        <w:t>lönbség együttes összegének 5%-a.</w:t>
      </w:r>
    </w:p>
    <w:p w:rsidR="00735941" w:rsidRPr="00952B62" w:rsidRDefault="00735941" w:rsidP="00BA2848">
      <w:pPr>
        <w:pStyle w:val="Szvegtrzs1"/>
        <w:numPr>
          <w:ilvl w:val="0"/>
          <w:numId w:val="10"/>
        </w:numPr>
        <w:shd w:val="clear" w:color="auto" w:fill="auto"/>
        <w:tabs>
          <w:tab w:val="left" w:pos="301"/>
        </w:tabs>
        <w:spacing w:before="0" w:after="123" w:line="240" w:lineRule="auto"/>
        <w:ind w:right="20" w:firstLine="0"/>
        <w:jc w:val="both"/>
        <w:rPr>
          <w:rFonts w:asciiTheme="majorHAnsi" w:hAnsiTheme="majorHAnsi"/>
          <w:sz w:val="18"/>
          <w:szCs w:val="18"/>
        </w:rPr>
      </w:pPr>
      <w:r w:rsidRPr="00952B62">
        <w:rPr>
          <w:rFonts w:asciiTheme="majorHAnsi" w:hAnsiTheme="majorHAnsi"/>
          <w:sz w:val="18"/>
          <w:szCs w:val="18"/>
        </w:rPr>
        <w:t>A Hitelműveletek alapján felszámított egyéb díjak, jutalékok és költségek egyedileg kerülnek meghatározásra.</w:t>
      </w:r>
    </w:p>
    <w:p w:rsidR="00735941" w:rsidRPr="00952B62" w:rsidRDefault="00735941" w:rsidP="00BA2848">
      <w:pPr>
        <w:pStyle w:val="Szvegtrzs1"/>
        <w:numPr>
          <w:ilvl w:val="0"/>
          <w:numId w:val="10"/>
        </w:numPr>
        <w:shd w:val="clear" w:color="auto" w:fill="auto"/>
        <w:tabs>
          <w:tab w:val="left" w:pos="294"/>
        </w:tabs>
        <w:spacing w:before="0" w:line="240" w:lineRule="auto"/>
        <w:ind w:right="20" w:firstLine="0"/>
        <w:jc w:val="both"/>
        <w:rPr>
          <w:rFonts w:asciiTheme="majorHAnsi" w:hAnsiTheme="majorHAnsi"/>
          <w:sz w:val="18"/>
          <w:szCs w:val="18"/>
        </w:rPr>
      </w:pPr>
      <w:r w:rsidRPr="00952B62">
        <w:rPr>
          <w:rFonts w:asciiTheme="majorHAnsi" w:hAnsiTheme="majorHAnsi"/>
          <w:sz w:val="18"/>
          <w:szCs w:val="18"/>
        </w:rPr>
        <w:t xml:space="preserve">Az AXON Pénzügyi és Lízing </w:t>
      </w:r>
      <w:r w:rsidR="00952B62">
        <w:rPr>
          <w:rFonts w:asciiTheme="majorHAnsi" w:hAnsiTheme="majorHAnsi"/>
          <w:sz w:val="18"/>
          <w:szCs w:val="18"/>
        </w:rPr>
        <w:t>Zrt.</w:t>
      </w:r>
      <w:r w:rsidRPr="00952B62">
        <w:rPr>
          <w:rFonts w:asciiTheme="majorHAnsi" w:hAnsiTheme="majorHAnsi"/>
          <w:sz w:val="18"/>
          <w:szCs w:val="18"/>
        </w:rPr>
        <w:t xml:space="preserve"> jelenleg nem végez olyan Hitelműveletet, melyre vonatkozóan teljes hiteldíj mutató (THM) meghatározása és közzététele kötelező.</w:t>
      </w:r>
    </w:p>
    <w:p w:rsidR="00735941" w:rsidRPr="00952B62" w:rsidRDefault="00735941" w:rsidP="00BA2848">
      <w:pPr>
        <w:pStyle w:val="Szvegtrzs1"/>
        <w:shd w:val="clear" w:color="auto" w:fill="auto"/>
        <w:spacing w:before="0" w:after="489" w:line="240" w:lineRule="auto"/>
        <w:ind w:right="20" w:firstLine="0"/>
        <w:jc w:val="both"/>
        <w:rPr>
          <w:rFonts w:asciiTheme="majorHAnsi" w:hAnsiTheme="majorHAnsi"/>
          <w:sz w:val="18"/>
          <w:szCs w:val="18"/>
        </w:rPr>
      </w:pPr>
      <w:r w:rsidRPr="00952B62">
        <w:rPr>
          <w:rFonts w:asciiTheme="majorHAnsi" w:hAnsiTheme="majorHAnsi"/>
          <w:sz w:val="18"/>
          <w:szCs w:val="18"/>
        </w:rPr>
        <w:t xml:space="preserve">19. Az AXON Pénzügyi és Lízing </w:t>
      </w:r>
      <w:r w:rsidR="00952B62">
        <w:rPr>
          <w:rFonts w:asciiTheme="majorHAnsi" w:hAnsiTheme="majorHAnsi"/>
          <w:sz w:val="18"/>
          <w:szCs w:val="18"/>
        </w:rPr>
        <w:t>Zrt.</w:t>
      </w:r>
      <w:r w:rsidRPr="00952B62">
        <w:rPr>
          <w:rFonts w:asciiTheme="majorHAnsi" w:hAnsiTheme="majorHAnsi"/>
          <w:sz w:val="18"/>
          <w:szCs w:val="18"/>
        </w:rPr>
        <w:t>-vei Hitelműveletekre korábban kötött szerződések</w:t>
      </w:r>
      <w:r w:rsidRPr="00952B62">
        <w:rPr>
          <w:rStyle w:val="BodytextItalic"/>
          <w:rFonts w:asciiTheme="majorHAnsi" w:hAnsiTheme="majorHAnsi"/>
          <w:sz w:val="18"/>
          <w:szCs w:val="18"/>
        </w:rPr>
        <w:t xml:space="preserve"> (hitelszerződé</w:t>
      </w:r>
      <w:r w:rsidRPr="00952B62">
        <w:rPr>
          <w:rStyle w:val="BodytextItalic"/>
          <w:rFonts w:asciiTheme="majorHAnsi" w:hAnsiTheme="majorHAnsi"/>
          <w:sz w:val="18"/>
          <w:szCs w:val="18"/>
        </w:rPr>
        <w:softHyphen/>
        <w:t>sek, kölcsönszerződések</w:t>
      </w:r>
      <w:r w:rsidRPr="00952B62">
        <w:rPr>
          <w:rFonts w:asciiTheme="majorHAnsi" w:hAnsiTheme="majorHAnsi"/>
          <w:sz w:val="18"/>
          <w:szCs w:val="18"/>
        </w:rPr>
        <w:t xml:space="preserve">) tekintetében a jelen </w:t>
      </w:r>
      <w:r w:rsidRPr="00952B62">
        <w:rPr>
          <w:rStyle w:val="BodytextItalic"/>
          <w:rFonts w:asciiTheme="majorHAnsi" w:hAnsiTheme="majorHAnsi"/>
          <w:sz w:val="18"/>
          <w:szCs w:val="18"/>
        </w:rPr>
        <w:t>Hirdetmény,</w:t>
      </w:r>
      <w:r w:rsidRPr="00952B62">
        <w:rPr>
          <w:rFonts w:asciiTheme="majorHAnsi" w:hAnsiTheme="majorHAnsi"/>
          <w:sz w:val="18"/>
          <w:szCs w:val="18"/>
        </w:rPr>
        <w:t xml:space="preserve"> a</w:t>
      </w:r>
      <w:r w:rsidRPr="00952B62">
        <w:rPr>
          <w:rStyle w:val="BodytextItalic"/>
          <w:rFonts w:asciiTheme="majorHAnsi" w:hAnsiTheme="majorHAnsi"/>
          <w:sz w:val="18"/>
          <w:szCs w:val="18"/>
        </w:rPr>
        <w:t xml:space="preserve"> Hitel- és kölcsönszerződések Általános Szerződési Feltételei,</w:t>
      </w:r>
      <w:r w:rsidRPr="00952B62">
        <w:rPr>
          <w:rFonts w:asciiTheme="majorHAnsi" w:hAnsiTheme="majorHAnsi"/>
          <w:sz w:val="18"/>
          <w:szCs w:val="18"/>
        </w:rPr>
        <w:t xml:space="preserve"> valamint az </w:t>
      </w:r>
      <w:r w:rsidRPr="00952B62">
        <w:rPr>
          <w:rStyle w:val="BodytextItalic"/>
          <w:rFonts w:asciiTheme="majorHAnsi" w:hAnsiTheme="majorHAnsi"/>
          <w:sz w:val="18"/>
          <w:szCs w:val="18"/>
        </w:rPr>
        <w:t>Üzletszabályzat</w:t>
      </w:r>
      <w:r w:rsidRPr="00952B62">
        <w:rPr>
          <w:rFonts w:asciiTheme="majorHAnsi" w:hAnsiTheme="majorHAnsi"/>
          <w:sz w:val="18"/>
          <w:szCs w:val="18"/>
        </w:rPr>
        <w:t xml:space="preserve"> rendelkezései az egyedi szerződésben nem szabályozott kérdésekben irányadók.</w:t>
      </w:r>
    </w:p>
    <w:p w:rsidR="00735941" w:rsidRPr="00952B62" w:rsidRDefault="00735941" w:rsidP="00BA2848">
      <w:pPr>
        <w:pStyle w:val="Bodytext120"/>
        <w:shd w:val="clear" w:color="auto" w:fill="auto"/>
        <w:spacing w:after="294" w:line="240" w:lineRule="auto"/>
        <w:ind w:right="600" w:firstLine="0"/>
        <w:rPr>
          <w:rFonts w:asciiTheme="majorHAnsi" w:hAnsiTheme="majorHAnsi"/>
          <w:b/>
          <w:sz w:val="18"/>
          <w:szCs w:val="18"/>
        </w:rPr>
      </w:pPr>
      <w:r w:rsidRPr="00952B62">
        <w:rPr>
          <w:rFonts w:asciiTheme="majorHAnsi" w:hAnsiTheme="majorHAnsi"/>
          <w:b/>
          <w:sz w:val="18"/>
          <w:szCs w:val="18"/>
        </w:rPr>
        <w:t>IV. FAKTORÁLÁSHOZ KAPCSOLÓDÓ FELTÉTELEK ÉS RENDELKEZÉSEK</w:t>
      </w:r>
    </w:p>
    <w:p w:rsidR="00735941" w:rsidRPr="00952B62" w:rsidRDefault="00735941" w:rsidP="00BA2848">
      <w:pPr>
        <w:pStyle w:val="Bodytext150"/>
        <w:shd w:val="clear" w:color="auto" w:fill="auto"/>
        <w:spacing w:before="0" w:after="498" w:line="240" w:lineRule="auto"/>
        <w:ind w:right="20" w:firstLine="0"/>
        <w:rPr>
          <w:rFonts w:asciiTheme="majorHAnsi" w:hAnsiTheme="majorHAnsi"/>
          <w:sz w:val="18"/>
          <w:szCs w:val="18"/>
        </w:rPr>
      </w:pPr>
      <w:r w:rsidRPr="00952B62">
        <w:rPr>
          <w:rFonts w:asciiTheme="majorHAnsi" w:hAnsiTheme="majorHAnsi"/>
          <w:sz w:val="18"/>
          <w:szCs w:val="18"/>
        </w:rPr>
        <w:t xml:space="preserve">Az AXON Pénzügyi és Lízing </w:t>
      </w:r>
      <w:r w:rsidR="00952B62">
        <w:rPr>
          <w:rFonts w:asciiTheme="majorHAnsi" w:hAnsiTheme="majorHAnsi"/>
          <w:sz w:val="18"/>
          <w:szCs w:val="18"/>
        </w:rPr>
        <w:t>Zrt.</w:t>
      </w:r>
      <w:r w:rsidRPr="00952B62">
        <w:rPr>
          <w:rFonts w:asciiTheme="majorHAnsi" w:hAnsiTheme="majorHAnsi"/>
          <w:sz w:val="18"/>
          <w:szCs w:val="18"/>
        </w:rPr>
        <w:t xml:space="preserve"> a faktoráláshoz kapcsolódó általános feltételeket és rendelkezéseket a </w:t>
      </w:r>
      <w:r w:rsidRPr="00952B62">
        <w:rPr>
          <w:rStyle w:val="Bodytext15Italic"/>
          <w:rFonts w:asciiTheme="majorHAnsi" w:hAnsiTheme="majorHAnsi"/>
          <w:sz w:val="18"/>
          <w:szCs w:val="18"/>
        </w:rPr>
        <w:t>Faktoring szerződések Általános Szerződési Feltételeiben</w:t>
      </w:r>
      <w:r w:rsidRPr="00952B62">
        <w:rPr>
          <w:rFonts w:asciiTheme="majorHAnsi" w:hAnsiTheme="majorHAnsi"/>
          <w:sz w:val="18"/>
          <w:szCs w:val="18"/>
        </w:rPr>
        <w:t xml:space="preserve"> rögzíti.</w:t>
      </w:r>
    </w:p>
    <w:p w:rsidR="00735941" w:rsidRPr="00952B62" w:rsidRDefault="00735941" w:rsidP="00BA2848">
      <w:pPr>
        <w:pStyle w:val="Bodytext120"/>
        <w:shd w:val="clear" w:color="auto" w:fill="auto"/>
        <w:spacing w:after="251" w:line="240" w:lineRule="auto"/>
        <w:ind w:firstLine="0"/>
        <w:jc w:val="both"/>
        <w:rPr>
          <w:rFonts w:asciiTheme="majorHAnsi" w:hAnsiTheme="majorHAnsi"/>
          <w:b/>
          <w:sz w:val="18"/>
          <w:szCs w:val="18"/>
        </w:rPr>
      </w:pPr>
      <w:r w:rsidRPr="00952B62">
        <w:rPr>
          <w:rFonts w:asciiTheme="majorHAnsi" w:hAnsiTheme="majorHAnsi"/>
          <w:b/>
          <w:sz w:val="18"/>
          <w:szCs w:val="18"/>
        </w:rPr>
        <w:t>V. ÁLTALÁNOS FELTÉTELEK</w:t>
      </w:r>
    </w:p>
    <w:p w:rsidR="00735941" w:rsidRPr="00952B62" w:rsidRDefault="00735941" w:rsidP="00BA2848">
      <w:pPr>
        <w:pStyle w:val="Szvegtrzs1"/>
        <w:numPr>
          <w:ilvl w:val="1"/>
          <w:numId w:val="10"/>
        </w:numPr>
        <w:shd w:val="clear" w:color="auto" w:fill="auto"/>
        <w:tabs>
          <w:tab w:val="left" w:pos="308"/>
        </w:tabs>
        <w:spacing w:before="0" w:after="120" w:line="240" w:lineRule="auto"/>
        <w:ind w:right="20" w:firstLine="0"/>
        <w:jc w:val="both"/>
        <w:rPr>
          <w:rFonts w:asciiTheme="majorHAnsi" w:hAnsiTheme="majorHAnsi"/>
          <w:sz w:val="18"/>
          <w:szCs w:val="18"/>
        </w:rPr>
      </w:pPr>
      <w:r w:rsidRPr="00952B62">
        <w:rPr>
          <w:rFonts w:asciiTheme="majorHAnsi" w:hAnsiTheme="majorHAnsi"/>
          <w:sz w:val="18"/>
          <w:szCs w:val="18"/>
        </w:rPr>
        <w:t xml:space="preserve">A kamatszámításánál, valamint az egyéb járulékok számításánál az AXON Pénzügyi és Lízing </w:t>
      </w:r>
      <w:r w:rsidR="00952B62">
        <w:rPr>
          <w:rFonts w:asciiTheme="majorHAnsi" w:hAnsiTheme="majorHAnsi"/>
          <w:sz w:val="18"/>
          <w:szCs w:val="18"/>
        </w:rPr>
        <w:t>Zrt.</w:t>
      </w:r>
      <w:r w:rsidRPr="00952B62">
        <w:rPr>
          <w:rFonts w:asciiTheme="majorHAnsi" w:hAnsiTheme="majorHAnsi"/>
          <w:sz w:val="18"/>
          <w:szCs w:val="18"/>
        </w:rPr>
        <w:t xml:space="preserve"> a kerekítés jogát fenntartja.</w:t>
      </w:r>
    </w:p>
    <w:p w:rsidR="00735941" w:rsidRPr="00952B62" w:rsidRDefault="00735941" w:rsidP="00BA2848">
      <w:pPr>
        <w:pStyle w:val="Szvegtrzs1"/>
        <w:numPr>
          <w:ilvl w:val="1"/>
          <w:numId w:val="10"/>
        </w:numPr>
        <w:shd w:val="clear" w:color="auto" w:fill="auto"/>
        <w:tabs>
          <w:tab w:val="left" w:pos="315"/>
        </w:tabs>
        <w:spacing w:before="0" w:after="123" w:line="240" w:lineRule="auto"/>
        <w:ind w:right="20" w:firstLine="0"/>
        <w:jc w:val="both"/>
        <w:rPr>
          <w:rFonts w:asciiTheme="majorHAnsi" w:hAnsiTheme="majorHAnsi"/>
          <w:sz w:val="18"/>
          <w:szCs w:val="18"/>
        </w:rPr>
      </w:pPr>
      <w:r w:rsidRPr="00952B62">
        <w:rPr>
          <w:rFonts w:asciiTheme="majorHAnsi" w:hAnsiTheme="majorHAnsi"/>
          <w:sz w:val="18"/>
          <w:szCs w:val="18"/>
        </w:rPr>
        <w:t>Bármely devizautalást igénylő ügylet esetén, amennyiben az Üzletfélnek felróható okból elmarad a kedvezményezett számla nemzetközi bankszámlaszámának (</w:t>
      </w:r>
      <w:r w:rsidRPr="00952B62">
        <w:rPr>
          <w:rStyle w:val="BodytextItalic"/>
          <w:rFonts w:asciiTheme="majorHAnsi" w:hAnsiTheme="majorHAnsi"/>
          <w:sz w:val="18"/>
          <w:szCs w:val="18"/>
        </w:rPr>
        <w:t xml:space="preserve">IBAN) </w:t>
      </w:r>
      <w:r w:rsidRPr="00952B62">
        <w:rPr>
          <w:rFonts w:asciiTheme="majorHAnsi" w:hAnsiTheme="majorHAnsi"/>
          <w:sz w:val="18"/>
          <w:szCs w:val="18"/>
        </w:rPr>
        <w:t xml:space="preserve">megjelölése és emiatt az AXON Pénzügyi és Lízing </w:t>
      </w:r>
      <w:r w:rsidR="00952B62">
        <w:rPr>
          <w:rFonts w:asciiTheme="majorHAnsi" w:hAnsiTheme="majorHAnsi"/>
          <w:sz w:val="18"/>
          <w:szCs w:val="18"/>
        </w:rPr>
        <w:t>Zrt.</w:t>
      </w:r>
      <w:r w:rsidRPr="00952B62">
        <w:rPr>
          <w:rFonts w:asciiTheme="majorHAnsi" w:hAnsiTheme="majorHAnsi"/>
          <w:sz w:val="18"/>
          <w:szCs w:val="18"/>
        </w:rPr>
        <w:t xml:space="preserve"> felé a tranzakcióval összefüggésben </w:t>
      </w:r>
      <w:r w:rsidR="00BA2848" w:rsidRPr="00952B62">
        <w:rPr>
          <w:rFonts w:asciiTheme="majorHAnsi" w:hAnsiTheme="majorHAnsi"/>
          <w:sz w:val="18"/>
          <w:szCs w:val="18"/>
        </w:rPr>
        <w:t>bármely hitelin</w:t>
      </w:r>
      <w:r w:rsidR="00BA2848" w:rsidRPr="00952B62">
        <w:rPr>
          <w:rFonts w:asciiTheme="majorHAnsi" w:hAnsiTheme="majorHAnsi"/>
          <w:sz w:val="18"/>
          <w:szCs w:val="18"/>
        </w:rPr>
        <w:softHyphen/>
        <w:t>tézet büntető dí</w:t>
      </w:r>
      <w:r w:rsidRPr="00952B62">
        <w:rPr>
          <w:rFonts w:asciiTheme="majorHAnsi" w:hAnsiTheme="majorHAnsi"/>
          <w:sz w:val="18"/>
          <w:szCs w:val="18"/>
        </w:rPr>
        <w:t xml:space="preserve">jat számít fel, úgy ezen büntetődíjat az AXON Pénzügyi és Lízing </w:t>
      </w:r>
      <w:r w:rsidR="00952B62">
        <w:rPr>
          <w:rFonts w:asciiTheme="majorHAnsi" w:hAnsiTheme="majorHAnsi"/>
          <w:sz w:val="18"/>
          <w:szCs w:val="18"/>
        </w:rPr>
        <w:t>Zrt.</w:t>
      </w:r>
      <w:r w:rsidRPr="00952B62">
        <w:rPr>
          <w:rFonts w:asciiTheme="majorHAnsi" w:hAnsiTheme="majorHAnsi"/>
          <w:sz w:val="18"/>
          <w:szCs w:val="18"/>
        </w:rPr>
        <w:t xml:space="preserve"> az Üzletfélre továbbháríthatja.</w:t>
      </w:r>
    </w:p>
    <w:p w:rsidR="00735941" w:rsidRPr="00952B62" w:rsidRDefault="00735941" w:rsidP="00BA2848">
      <w:pPr>
        <w:jc w:val="center"/>
        <w:rPr>
          <w:rFonts w:asciiTheme="majorHAnsi" w:hAnsiTheme="majorHAnsi" w:cs="Arial"/>
          <w:sz w:val="18"/>
          <w:szCs w:val="18"/>
        </w:rPr>
      </w:pPr>
    </w:p>
    <w:p w:rsidR="00735941" w:rsidRPr="00952B62" w:rsidRDefault="00735941" w:rsidP="00BA2848">
      <w:pPr>
        <w:pStyle w:val="Szvegtrzs1"/>
        <w:numPr>
          <w:ilvl w:val="1"/>
          <w:numId w:val="10"/>
        </w:numPr>
        <w:shd w:val="clear" w:color="auto" w:fill="auto"/>
        <w:tabs>
          <w:tab w:val="left" w:pos="308"/>
        </w:tabs>
        <w:spacing w:before="0" w:line="240" w:lineRule="auto"/>
        <w:ind w:right="20" w:firstLine="0"/>
        <w:jc w:val="both"/>
        <w:rPr>
          <w:rFonts w:asciiTheme="majorHAnsi" w:hAnsiTheme="majorHAnsi"/>
          <w:sz w:val="18"/>
          <w:szCs w:val="18"/>
        </w:rPr>
      </w:pPr>
      <w:r w:rsidRPr="00952B62">
        <w:rPr>
          <w:rFonts w:asciiTheme="majorHAnsi" w:hAnsiTheme="majorHAnsi"/>
          <w:sz w:val="18"/>
          <w:szCs w:val="18"/>
        </w:rPr>
        <w:t>A jelen Hirdetményben meghatározott díj, költség, illetve egyéb Üzletfél által fizetendő tételek nettó összegek, azokra ÁFA a mindenkor hatályos törvények rendelkezései alapján kerülhet felszámításra</w:t>
      </w:r>
    </w:p>
    <w:p w:rsidR="00552F01" w:rsidRPr="00BA2848" w:rsidRDefault="00552F01" w:rsidP="00BA2848">
      <w:pPr>
        <w:widowControl w:val="0"/>
        <w:tabs>
          <w:tab w:val="left" w:pos="284"/>
        </w:tabs>
        <w:autoSpaceDE w:val="0"/>
        <w:autoSpaceDN w:val="0"/>
        <w:adjustRightInd w:val="0"/>
        <w:ind w:right="-5"/>
        <w:jc w:val="both"/>
        <w:rPr>
          <w:rFonts w:asciiTheme="minorHAnsi" w:hAnsiTheme="minorHAnsi"/>
          <w:sz w:val="18"/>
          <w:szCs w:val="18"/>
        </w:rPr>
      </w:pPr>
    </w:p>
    <w:sectPr w:rsidR="00552F01" w:rsidRPr="00BA2848" w:rsidSect="00BA2848">
      <w:headerReference w:type="first" r:id="rId9"/>
      <w:footerReference w:type="first" r:id="rId10"/>
      <w:footnotePr>
        <w:pos w:val="beneathText"/>
      </w:footnotePr>
      <w:pgSz w:w="11905" w:h="16837" w:code="9"/>
      <w:pgMar w:top="1418" w:right="1418" w:bottom="1418" w:left="1418" w:header="851"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BE" w:rsidRDefault="008461BE">
      <w:r>
        <w:separator/>
      </w:r>
    </w:p>
  </w:endnote>
  <w:endnote w:type="continuationSeparator" w:id="0">
    <w:p w:rsidR="008461BE" w:rsidRDefault="0084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D5" w:rsidRDefault="00952B62" w:rsidP="000800C2">
    <w:pPr>
      <w:pStyle w:val="llb"/>
      <w:jc w:val="center"/>
    </w:pPr>
    <w:r>
      <w:rPr>
        <w:noProof/>
      </w:rPr>
      <mc:AlternateContent>
        <mc:Choice Requires="wpc">
          <w:drawing>
            <wp:inline distT="0" distB="0" distL="0" distR="0">
              <wp:extent cx="3886200" cy="831850"/>
              <wp:effectExtent l="0" t="0" r="0" b="0"/>
              <wp:docPr id="2" name="Vászo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Vászon 2" o:spid="_x0000_s1026" editas="canvas" style="width:306pt;height:65.5pt;mso-position-horizontal-relative:char;mso-position-vertical-relative:line" coordsize="38862,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BKhQWH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8318;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BE" w:rsidRDefault="008461BE">
      <w:r>
        <w:separator/>
      </w:r>
    </w:p>
  </w:footnote>
  <w:footnote w:type="continuationSeparator" w:id="0">
    <w:p w:rsidR="008461BE" w:rsidRDefault="0084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D5" w:rsidRDefault="00952B62">
    <w:pPr>
      <w:pStyle w:val="lfej"/>
    </w:pP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38862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4D5" w:rsidRPr="00DA4726" w:rsidRDefault="002614D5" w:rsidP="00DA47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7pt;margin-top:0;width:30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" stroked="f">
              <v:textbox>
                <w:txbxContent>
                  <w:p w:rsidR="002614D5" w:rsidRPr="00DA4726" w:rsidRDefault="002614D5" w:rsidP="00DA472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5D2"/>
    <w:multiLevelType w:val="multilevel"/>
    <w:tmpl w:val="CC9E4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284C"/>
    <w:multiLevelType w:val="multilevel"/>
    <w:tmpl w:val="44A4B8BE"/>
    <w:lvl w:ilvl="0">
      <w:start w:val="1"/>
      <w:numFmt w:val="lowerLetter"/>
      <w:lvlText w:val="%1)"/>
      <w:lvlJc w:val="left"/>
      <w:rPr>
        <w:b w:val="0"/>
        <w:bCs w:val="0"/>
        <w:i/>
        <w:iCs/>
        <w:smallCaps w:val="0"/>
        <w:strike w:val="0"/>
        <w:color w:val="000000"/>
        <w:spacing w:val="0"/>
        <w:w w:val="100"/>
        <w:position w:val="0"/>
        <w:sz w:val="15"/>
        <w:szCs w:val="15"/>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upperLetter"/>
      <w:lvlText w:val="(%3)"/>
      <w:lvlJc w:val="left"/>
      <w:rPr>
        <w:rFonts w:ascii="Arial" w:eastAsia="Arial" w:hAnsi="Arial" w:cs="Arial"/>
        <w:b w:val="0"/>
        <w:bCs w:val="0"/>
        <w:i/>
        <w:iCs/>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E1874"/>
    <w:multiLevelType w:val="multilevel"/>
    <w:tmpl w:val="867A856E"/>
    <w:lvl w:ilvl="0">
      <w:start w:val="10"/>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71799"/>
    <w:multiLevelType w:val="multilevel"/>
    <w:tmpl w:val="DE0C0312"/>
    <w:lvl w:ilvl="0">
      <w:start w:val="1"/>
      <w:numFmt w:val="lowerLetter"/>
      <w:lvlText w:val="%1)"/>
      <w:lvlJc w:val="left"/>
      <w:rPr>
        <w:b w:val="0"/>
        <w:bCs w:val="0"/>
        <w:i/>
        <w:iCs/>
        <w:smallCaps w:val="0"/>
        <w:strike w:val="0"/>
        <w:color w:val="000000"/>
        <w:spacing w:val="0"/>
        <w:w w:val="100"/>
        <w:position w:val="0"/>
        <w:sz w:val="15"/>
        <w:szCs w:val="15"/>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upperLetter"/>
      <w:lvlText w:val="(%3)"/>
      <w:lvlJc w:val="left"/>
      <w:rPr>
        <w:rFonts w:ascii="Arial" w:eastAsia="Arial" w:hAnsi="Arial" w:cs="Arial"/>
        <w:b w:val="0"/>
        <w:bCs w:val="0"/>
        <w:i/>
        <w:iCs/>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358C1"/>
    <w:multiLevelType w:val="multilevel"/>
    <w:tmpl w:val="496C3648"/>
    <w:lvl w:ilvl="0">
      <w:start w:val="1"/>
      <w:numFmt w:val="bullet"/>
      <w:lvlText w:val="-"/>
      <w:lvlJc w:val="left"/>
      <w:rPr>
        <w:rFonts w:ascii="Arial" w:eastAsia="Arial" w:hAnsi="Arial" w:cs="Arial"/>
        <w:b/>
        <w:bCs/>
        <w:i/>
        <w:iCs/>
        <w:smallCaps w:val="0"/>
        <w:strike w:val="0"/>
        <w:color w:val="000000"/>
        <w:spacing w:val="0"/>
        <w:w w:val="100"/>
        <w:position w:val="0"/>
        <w:sz w:val="15"/>
        <w:szCs w:val="15"/>
        <w:u w:val="none"/>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upperLetter"/>
      <w:lvlText w:val="(%3)"/>
      <w:lvlJc w:val="left"/>
      <w:rPr>
        <w:rFonts w:ascii="Arial" w:eastAsia="Arial" w:hAnsi="Arial" w:cs="Arial"/>
        <w:b w:val="0"/>
        <w:bCs w:val="0"/>
        <w:i/>
        <w:iCs/>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C23F4"/>
    <w:multiLevelType w:val="hybridMultilevel"/>
    <w:tmpl w:val="B136D07E"/>
    <w:lvl w:ilvl="0" w:tplc="59E4FE1A">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3E703E4"/>
    <w:multiLevelType w:val="multilevel"/>
    <w:tmpl w:val="D62C1410"/>
    <w:lvl w:ilvl="0">
      <w:start w:val="1"/>
      <w:numFmt w:val="upperLetter"/>
      <w:lvlText w:val="(%1)"/>
      <w:lvlJc w:val="left"/>
      <w:rPr>
        <w:rFonts w:ascii="Arial" w:eastAsia="Arial" w:hAnsi="Arial" w:cs="Arial"/>
        <w:b w:val="0"/>
        <w:bCs w:val="0"/>
        <w:i/>
        <w:iCs/>
        <w:smallCaps w:val="0"/>
        <w:strike w:val="0"/>
        <w:color w:val="000000"/>
        <w:spacing w:val="0"/>
        <w:w w:val="100"/>
        <w:position w:val="0"/>
        <w:sz w:val="15"/>
        <w:szCs w:val="15"/>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upperLetter"/>
      <w:lvlText w:val="(%3)"/>
      <w:lvlJc w:val="left"/>
      <w:rPr>
        <w:rFonts w:ascii="Arial" w:eastAsia="Arial" w:hAnsi="Arial" w:cs="Arial"/>
        <w:b w:val="0"/>
        <w:bCs w:val="0"/>
        <w:i/>
        <w:iCs/>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27E0E"/>
    <w:multiLevelType w:val="multilevel"/>
    <w:tmpl w:val="DDC69A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5548D1"/>
    <w:multiLevelType w:val="hybridMultilevel"/>
    <w:tmpl w:val="DB6EA18E"/>
    <w:lvl w:ilvl="0" w:tplc="AC3625CE">
      <w:start w:val="4"/>
      <w:numFmt w:val="upperLetter"/>
      <w:lvlText w:val="(%1)"/>
      <w:lvlJc w:val="left"/>
      <w:pPr>
        <w:ind w:left="1885" w:hanging="360"/>
      </w:pPr>
      <w:rPr>
        <w:rFonts w:hint="default"/>
      </w:rPr>
    </w:lvl>
    <w:lvl w:ilvl="1" w:tplc="040E0019" w:tentative="1">
      <w:start w:val="1"/>
      <w:numFmt w:val="lowerLetter"/>
      <w:lvlText w:val="%2."/>
      <w:lvlJc w:val="left"/>
      <w:pPr>
        <w:ind w:left="2605" w:hanging="360"/>
      </w:pPr>
    </w:lvl>
    <w:lvl w:ilvl="2" w:tplc="040E001B" w:tentative="1">
      <w:start w:val="1"/>
      <w:numFmt w:val="lowerRoman"/>
      <w:lvlText w:val="%3."/>
      <w:lvlJc w:val="right"/>
      <w:pPr>
        <w:ind w:left="3325" w:hanging="180"/>
      </w:pPr>
    </w:lvl>
    <w:lvl w:ilvl="3" w:tplc="040E000F" w:tentative="1">
      <w:start w:val="1"/>
      <w:numFmt w:val="decimal"/>
      <w:lvlText w:val="%4."/>
      <w:lvlJc w:val="left"/>
      <w:pPr>
        <w:ind w:left="4045" w:hanging="360"/>
      </w:pPr>
    </w:lvl>
    <w:lvl w:ilvl="4" w:tplc="040E0019" w:tentative="1">
      <w:start w:val="1"/>
      <w:numFmt w:val="lowerLetter"/>
      <w:lvlText w:val="%5."/>
      <w:lvlJc w:val="left"/>
      <w:pPr>
        <w:ind w:left="4765" w:hanging="360"/>
      </w:pPr>
    </w:lvl>
    <w:lvl w:ilvl="5" w:tplc="040E001B" w:tentative="1">
      <w:start w:val="1"/>
      <w:numFmt w:val="lowerRoman"/>
      <w:lvlText w:val="%6."/>
      <w:lvlJc w:val="right"/>
      <w:pPr>
        <w:ind w:left="5485" w:hanging="180"/>
      </w:pPr>
    </w:lvl>
    <w:lvl w:ilvl="6" w:tplc="040E000F" w:tentative="1">
      <w:start w:val="1"/>
      <w:numFmt w:val="decimal"/>
      <w:lvlText w:val="%7."/>
      <w:lvlJc w:val="left"/>
      <w:pPr>
        <w:ind w:left="6205" w:hanging="360"/>
      </w:pPr>
    </w:lvl>
    <w:lvl w:ilvl="7" w:tplc="040E0019" w:tentative="1">
      <w:start w:val="1"/>
      <w:numFmt w:val="lowerLetter"/>
      <w:lvlText w:val="%8."/>
      <w:lvlJc w:val="left"/>
      <w:pPr>
        <w:ind w:left="6925" w:hanging="360"/>
      </w:pPr>
    </w:lvl>
    <w:lvl w:ilvl="8" w:tplc="040E001B" w:tentative="1">
      <w:start w:val="1"/>
      <w:numFmt w:val="lowerRoman"/>
      <w:lvlText w:val="%9."/>
      <w:lvlJc w:val="right"/>
      <w:pPr>
        <w:ind w:left="7645" w:hanging="180"/>
      </w:pPr>
    </w:lvl>
  </w:abstractNum>
  <w:abstractNum w:abstractNumId="9">
    <w:nsid w:val="3BEC126B"/>
    <w:multiLevelType w:val="hybridMultilevel"/>
    <w:tmpl w:val="83445974"/>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47CC305F"/>
    <w:multiLevelType w:val="hybridMultilevel"/>
    <w:tmpl w:val="7ED2C94E"/>
    <w:lvl w:ilvl="0" w:tplc="825C81F8">
      <w:start w:val="4"/>
      <w:numFmt w:val="upperLetter"/>
      <w:lvlText w:val="(%1)"/>
      <w:lvlJc w:val="left"/>
      <w:pPr>
        <w:ind w:left="1357" w:hanging="360"/>
      </w:pPr>
      <w:rPr>
        <w:rFonts w:hint="default"/>
      </w:rPr>
    </w:lvl>
    <w:lvl w:ilvl="1" w:tplc="040E0019" w:tentative="1">
      <w:start w:val="1"/>
      <w:numFmt w:val="lowerLetter"/>
      <w:lvlText w:val="%2."/>
      <w:lvlJc w:val="left"/>
      <w:pPr>
        <w:ind w:left="2077" w:hanging="360"/>
      </w:pPr>
    </w:lvl>
    <w:lvl w:ilvl="2" w:tplc="040E001B" w:tentative="1">
      <w:start w:val="1"/>
      <w:numFmt w:val="lowerRoman"/>
      <w:lvlText w:val="%3."/>
      <w:lvlJc w:val="right"/>
      <w:pPr>
        <w:ind w:left="2797" w:hanging="180"/>
      </w:pPr>
    </w:lvl>
    <w:lvl w:ilvl="3" w:tplc="040E000F" w:tentative="1">
      <w:start w:val="1"/>
      <w:numFmt w:val="decimal"/>
      <w:lvlText w:val="%4."/>
      <w:lvlJc w:val="left"/>
      <w:pPr>
        <w:ind w:left="3517" w:hanging="360"/>
      </w:pPr>
    </w:lvl>
    <w:lvl w:ilvl="4" w:tplc="040E0019" w:tentative="1">
      <w:start w:val="1"/>
      <w:numFmt w:val="lowerLetter"/>
      <w:lvlText w:val="%5."/>
      <w:lvlJc w:val="left"/>
      <w:pPr>
        <w:ind w:left="4237" w:hanging="360"/>
      </w:pPr>
    </w:lvl>
    <w:lvl w:ilvl="5" w:tplc="040E001B" w:tentative="1">
      <w:start w:val="1"/>
      <w:numFmt w:val="lowerRoman"/>
      <w:lvlText w:val="%6."/>
      <w:lvlJc w:val="right"/>
      <w:pPr>
        <w:ind w:left="4957" w:hanging="180"/>
      </w:pPr>
    </w:lvl>
    <w:lvl w:ilvl="6" w:tplc="040E000F" w:tentative="1">
      <w:start w:val="1"/>
      <w:numFmt w:val="decimal"/>
      <w:lvlText w:val="%7."/>
      <w:lvlJc w:val="left"/>
      <w:pPr>
        <w:ind w:left="5677" w:hanging="360"/>
      </w:pPr>
    </w:lvl>
    <w:lvl w:ilvl="7" w:tplc="040E0019" w:tentative="1">
      <w:start w:val="1"/>
      <w:numFmt w:val="lowerLetter"/>
      <w:lvlText w:val="%8."/>
      <w:lvlJc w:val="left"/>
      <w:pPr>
        <w:ind w:left="6397" w:hanging="360"/>
      </w:pPr>
    </w:lvl>
    <w:lvl w:ilvl="8" w:tplc="040E001B" w:tentative="1">
      <w:start w:val="1"/>
      <w:numFmt w:val="lowerRoman"/>
      <w:lvlText w:val="%9."/>
      <w:lvlJc w:val="right"/>
      <w:pPr>
        <w:ind w:left="7117" w:hanging="180"/>
      </w:pPr>
    </w:lvl>
  </w:abstractNum>
  <w:abstractNum w:abstractNumId="11">
    <w:nsid w:val="4E8B6EB2"/>
    <w:multiLevelType w:val="hybridMultilevel"/>
    <w:tmpl w:val="8E6E87B4"/>
    <w:lvl w:ilvl="0" w:tplc="3F2AA6B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EA83FF5"/>
    <w:multiLevelType w:val="hybridMultilevel"/>
    <w:tmpl w:val="ABA20C6A"/>
    <w:lvl w:ilvl="0" w:tplc="040E000F">
      <w:start w:val="10"/>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3">
    <w:nsid w:val="605D1EBB"/>
    <w:multiLevelType w:val="hybridMultilevel"/>
    <w:tmpl w:val="CB70256A"/>
    <w:lvl w:ilvl="0" w:tplc="9F62D884">
      <w:start w:val="4"/>
      <w:numFmt w:val="upp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63C2546D"/>
    <w:multiLevelType w:val="hybridMultilevel"/>
    <w:tmpl w:val="E7766014"/>
    <w:lvl w:ilvl="0" w:tplc="B5CAB562">
      <w:start w:val="4"/>
      <w:numFmt w:val="decimal"/>
      <w:lvlText w:val="%1."/>
      <w:lvlJc w:val="left"/>
      <w:pPr>
        <w:ind w:left="720" w:hanging="360"/>
      </w:pPr>
      <w:rPr>
        <w:rFonts w:asciiTheme="minorHAnsi" w:hAnsiTheme="minorHAnsi" w:cs="TimesNewRomanPSMT" w:hint="default"/>
        <w:sz w:val="16"/>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AF639CF"/>
    <w:multiLevelType w:val="hybridMultilevel"/>
    <w:tmpl w:val="1A6E589E"/>
    <w:lvl w:ilvl="0" w:tplc="6EFC193A">
      <w:start w:val="10"/>
      <w:numFmt w:val="bullet"/>
      <w:lvlText w:val="–"/>
      <w:lvlJc w:val="left"/>
      <w:pPr>
        <w:tabs>
          <w:tab w:val="num" w:pos="704"/>
        </w:tabs>
        <w:ind w:left="704" w:hanging="420"/>
      </w:pPr>
      <w:rPr>
        <w:rFonts w:ascii="Arial" w:eastAsia="Times New Roman" w:hAnsi="Arial" w:hint="default"/>
        <w:b/>
      </w:rPr>
    </w:lvl>
    <w:lvl w:ilvl="1" w:tplc="040E0003">
      <w:start w:val="1"/>
      <w:numFmt w:val="bullet"/>
      <w:lvlText w:val="o"/>
      <w:lvlJc w:val="left"/>
      <w:pPr>
        <w:tabs>
          <w:tab w:val="num" w:pos="1364"/>
        </w:tabs>
        <w:ind w:left="1364" w:hanging="360"/>
      </w:pPr>
      <w:rPr>
        <w:rFonts w:ascii="Courier New" w:hAnsi="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hint="default"/>
      </w:rPr>
    </w:lvl>
    <w:lvl w:ilvl="8" w:tplc="040E0005">
      <w:start w:val="1"/>
      <w:numFmt w:val="bullet"/>
      <w:lvlText w:val=""/>
      <w:lvlJc w:val="left"/>
      <w:pPr>
        <w:tabs>
          <w:tab w:val="num" w:pos="6404"/>
        </w:tabs>
        <w:ind w:left="6404" w:hanging="360"/>
      </w:pPr>
      <w:rPr>
        <w:rFonts w:ascii="Wingdings" w:hAnsi="Wingdings" w:hint="default"/>
      </w:rPr>
    </w:lvl>
  </w:abstractNum>
  <w:abstractNum w:abstractNumId="16">
    <w:nsid w:val="6E935193"/>
    <w:multiLevelType w:val="hybridMultilevel"/>
    <w:tmpl w:val="61A424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12A2EFE"/>
    <w:multiLevelType w:val="multilevel"/>
    <w:tmpl w:val="28B6278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2"/>
      <w:numFmt w:val="upperLetter"/>
      <w:lvlText w:val="(%2)"/>
      <w:lvlJc w:val="left"/>
      <w:rPr>
        <w:rFonts w:ascii="Arial" w:eastAsia="Arial" w:hAnsi="Arial" w:cs="Arial"/>
        <w:b w:val="0"/>
        <w:bCs w:val="0"/>
        <w:i/>
        <w:iCs/>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F13CBB"/>
    <w:multiLevelType w:val="hybridMultilevel"/>
    <w:tmpl w:val="DF462C2E"/>
    <w:lvl w:ilvl="0" w:tplc="040E000F">
      <w:start w:val="10"/>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2"/>
  </w:num>
  <w:num w:numId="3">
    <w:abstractNumId w:val="18"/>
  </w:num>
  <w:num w:numId="4">
    <w:abstractNumId w:val="9"/>
  </w:num>
  <w:num w:numId="5">
    <w:abstractNumId w:val="6"/>
  </w:num>
  <w:num w:numId="6">
    <w:abstractNumId w:val="0"/>
  </w:num>
  <w:num w:numId="7">
    <w:abstractNumId w:val="4"/>
  </w:num>
  <w:num w:numId="8">
    <w:abstractNumId w:val="17"/>
  </w:num>
  <w:num w:numId="9">
    <w:abstractNumId w:val="2"/>
  </w:num>
  <w:num w:numId="10">
    <w:abstractNumId w:val="7"/>
  </w:num>
  <w:num w:numId="11">
    <w:abstractNumId w:val="16"/>
  </w:num>
  <w:num w:numId="12">
    <w:abstractNumId w:val="3"/>
  </w:num>
  <w:num w:numId="13">
    <w:abstractNumId w:val="1"/>
  </w:num>
  <w:num w:numId="14">
    <w:abstractNumId w:val="14"/>
  </w:num>
  <w:num w:numId="15">
    <w:abstractNumId w:val="8"/>
  </w:num>
  <w:num w:numId="16">
    <w:abstractNumId w:val="10"/>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72"/>
    <w:rsid w:val="00013226"/>
    <w:rsid w:val="00021F91"/>
    <w:rsid w:val="00030C37"/>
    <w:rsid w:val="000339DA"/>
    <w:rsid w:val="00037099"/>
    <w:rsid w:val="00037EC2"/>
    <w:rsid w:val="00064E06"/>
    <w:rsid w:val="000657E2"/>
    <w:rsid w:val="00067175"/>
    <w:rsid w:val="000739A7"/>
    <w:rsid w:val="000800C2"/>
    <w:rsid w:val="00092B69"/>
    <w:rsid w:val="000943EC"/>
    <w:rsid w:val="000A4F4D"/>
    <w:rsid w:val="000B152B"/>
    <w:rsid w:val="000B49B2"/>
    <w:rsid w:val="000F4A46"/>
    <w:rsid w:val="00112030"/>
    <w:rsid w:val="00114CF0"/>
    <w:rsid w:val="001157EC"/>
    <w:rsid w:val="00120522"/>
    <w:rsid w:val="00124031"/>
    <w:rsid w:val="00153883"/>
    <w:rsid w:val="00155A15"/>
    <w:rsid w:val="00164A69"/>
    <w:rsid w:val="00167510"/>
    <w:rsid w:val="00181644"/>
    <w:rsid w:val="001C5E37"/>
    <w:rsid w:val="001D321C"/>
    <w:rsid w:val="0020110A"/>
    <w:rsid w:val="00210B07"/>
    <w:rsid w:val="002218D9"/>
    <w:rsid w:val="0024555F"/>
    <w:rsid w:val="002551E6"/>
    <w:rsid w:val="0025535C"/>
    <w:rsid w:val="00255D87"/>
    <w:rsid w:val="00256ADA"/>
    <w:rsid w:val="002614D5"/>
    <w:rsid w:val="0026487F"/>
    <w:rsid w:val="00277915"/>
    <w:rsid w:val="00283B4E"/>
    <w:rsid w:val="00285C3F"/>
    <w:rsid w:val="002A1D0B"/>
    <w:rsid w:val="002A40E3"/>
    <w:rsid w:val="002D1011"/>
    <w:rsid w:val="00302B55"/>
    <w:rsid w:val="00305A97"/>
    <w:rsid w:val="00336C93"/>
    <w:rsid w:val="00340BAC"/>
    <w:rsid w:val="00354E75"/>
    <w:rsid w:val="00365216"/>
    <w:rsid w:val="00372A80"/>
    <w:rsid w:val="003914FF"/>
    <w:rsid w:val="003A6F1C"/>
    <w:rsid w:val="003B24D9"/>
    <w:rsid w:val="003C289E"/>
    <w:rsid w:val="003D0618"/>
    <w:rsid w:val="003E2D51"/>
    <w:rsid w:val="00414667"/>
    <w:rsid w:val="004149D7"/>
    <w:rsid w:val="004217F7"/>
    <w:rsid w:val="00446E40"/>
    <w:rsid w:val="00452A3E"/>
    <w:rsid w:val="00461D54"/>
    <w:rsid w:val="00491816"/>
    <w:rsid w:val="004B0903"/>
    <w:rsid w:val="004B45E9"/>
    <w:rsid w:val="004C467A"/>
    <w:rsid w:val="004D5AE3"/>
    <w:rsid w:val="004E7577"/>
    <w:rsid w:val="0050786B"/>
    <w:rsid w:val="00514A39"/>
    <w:rsid w:val="00530E3B"/>
    <w:rsid w:val="00541808"/>
    <w:rsid w:val="00552F01"/>
    <w:rsid w:val="00584B7C"/>
    <w:rsid w:val="005A2C22"/>
    <w:rsid w:val="005B2BC1"/>
    <w:rsid w:val="005D571E"/>
    <w:rsid w:val="005E410E"/>
    <w:rsid w:val="005F74B9"/>
    <w:rsid w:val="00620023"/>
    <w:rsid w:val="0063228B"/>
    <w:rsid w:val="00651A8F"/>
    <w:rsid w:val="0066052E"/>
    <w:rsid w:val="00660C09"/>
    <w:rsid w:val="00661954"/>
    <w:rsid w:val="00685A5A"/>
    <w:rsid w:val="00696DA5"/>
    <w:rsid w:val="006B2894"/>
    <w:rsid w:val="006C6875"/>
    <w:rsid w:val="006E7470"/>
    <w:rsid w:val="00705B35"/>
    <w:rsid w:val="00735941"/>
    <w:rsid w:val="0075094A"/>
    <w:rsid w:val="00752D49"/>
    <w:rsid w:val="00787811"/>
    <w:rsid w:val="007A2F4B"/>
    <w:rsid w:val="007B2CEF"/>
    <w:rsid w:val="007B6F1A"/>
    <w:rsid w:val="007C13A6"/>
    <w:rsid w:val="007D0BA9"/>
    <w:rsid w:val="00815E0F"/>
    <w:rsid w:val="008342B4"/>
    <w:rsid w:val="008349A5"/>
    <w:rsid w:val="008461BE"/>
    <w:rsid w:val="00846CF6"/>
    <w:rsid w:val="00847602"/>
    <w:rsid w:val="0087446C"/>
    <w:rsid w:val="00875644"/>
    <w:rsid w:val="008A3645"/>
    <w:rsid w:val="008D3580"/>
    <w:rsid w:val="008D3BDC"/>
    <w:rsid w:val="008D4545"/>
    <w:rsid w:val="008E0791"/>
    <w:rsid w:val="008E401C"/>
    <w:rsid w:val="008E5F9C"/>
    <w:rsid w:val="00901144"/>
    <w:rsid w:val="00903065"/>
    <w:rsid w:val="00905993"/>
    <w:rsid w:val="00927D3C"/>
    <w:rsid w:val="00932972"/>
    <w:rsid w:val="00934877"/>
    <w:rsid w:val="00952B62"/>
    <w:rsid w:val="0096038C"/>
    <w:rsid w:val="009852A5"/>
    <w:rsid w:val="00985C83"/>
    <w:rsid w:val="00986822"/>
    <w:rsid w:val="009877DC"/>
    <w:rsid w:val="009A4A01"/>
    <w:rsid w:val="009B5DB8"/>
    <w:rsid w:val="009D1AC0"/>
    <w:rsid w:val="00A16F85"/>
    <w:rsid w:val="00A25B4A"/>
    <w:rsid w:val="00A55D90"/>
    <w:rsid w:val="00A8672A"/>
    <w:rsid w:val="00A9002A"/>
    <w:rsid w:val="00A94540"/>
    <w:rsid w:val="00A957C4"/>
    <w:rsid w:val="00AC67CE"/>
    <w:rsid w:val="00AD24C7"/>
    <w:rsid w:val="00AD7B82"/>
    <w:rsid w:val="00AF4870"/>
    <w:rsid w:val="00AF6AFD"/>
    <w:rsid w:val="00AF7377"/>
    <w:rsid w:val="00B130F7"/>
    <w:rsid w:val="00B14225"/>
    <w:rsid w:val="00B15D30"/>
    <w:rsid w:val="00B177E8"/>
    <w:rsid w:val="00B21CE0"/>
    <w:rsid w:val="00B34981"/>
    <w:rsid w:val="00B62FA7"/>
    <w:rsid w:val="00B7027D"/>
    <w:rsid w:val="00B758DC"/>
    <w:rsid w:val="00B82118"/>
    <w:rsid w:val="00B8260C"/>
    <w:rsid w:val="00B94CEE"/>
    <w:rsid w:val="00BA2848"/>
    <w:rsid w:val="00BB0C9B"/>
    <w:rsid w:val="00BB64E9"/>
    <w:rsid w:val="00BE72F8"/>
    <w:rsid w:val="00BF0FC6"/>
    <w:rsid w:val="00BF25C8"/>
    <w:rsid w:val="00BF61B0"/>
    <w:rsid w:val="00C34AA0"/>
    <w:rsid w:val="00C43093"/>
    <w:rsid w:val="00C555A3"/>
    <w:rsid w:val="00C55E6A"/>
    <w:rsid w:val="00C62C25"/>
    <w:rsid w:val="00C708A7"/>
    <w:rsid w:val="00C84683"/>
    <w:rsid w:val="00CA528C"/>
    <w:rsid w:val="00CA7295"/>
    <w:rsid w:val="00CF587E"/>
    <w:rsid w:val="00D01121"/>
    <w:rsid w:val="00D07E2C"/>
    <w:rsid w:val="00D10E64"/>
    <w:rsid w:val="00D1101D"/>
    <w:rsid w:val="00D208ED"/>
    <w:rsid w:val="00D32382"/>
    <w:rsid w:val="00D46A31"/>
    <w:rsid w:val="00D5098D"/>
    <w:rsid w:val="00D86C4C"/>
    <w:rsid w:val="00D8718A"/>
    <w:rsid w:val="00DA4726"/>
    <w:rsid w:val="00DF42F7"/>
    <w:rsid w:val="00E039CC"/>
    <w:rsid w:val="00E10F2B"/>
    <w:rsid w:val="00E26306"/>
    <w:rsid w:val="00E7264F"/>
    <w:rsid w:val="00EB3EB0"/>
    <w:rsid w:val="00ED1374"/>
    <w:rsid w:val="00ED38A8"/>
    <w:rsid w:val="00EE1A50"/>
    <w:rsid w:val="00F0011D"/>
    <w:rsid w:val="00F471AA"/>
    <w:rsid w:val="00F508FC"/>
    <w:rsid w:val="00F8057C"/>
    <w:rsid w:val="00F8495F"/>
    <w:rsid w:val="00F87A77"/>
    <w:rsid w:val="00F91E9E"/>
    <w:rsid w:val="00FB1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7811"/>
    <w:pPr>
      <w:suppressAutoHyphens/>
    </w:pPr>
    <w:rPr>
      <w:color w:val="000000"/>
    </w:rPr>
  </w:style>
  <w:style w:type="paragraph" w:styleId="Cmsor2">
    <w:name w:val="heading 2"/>
    <w:basedOn w:val="Norml"/>
    <w:next w:val="Norml"/>
    <w:link w:val="Cmsor2Char"/>
    <w:uiPriority w:val="9"/>
    <w:qFormat/>
    <w:rsid w:val="007D0BA9"/>
    <w:pPr>
      <w:keepNext/>
      <w:suppressAutoHyphens w:val="0"/>
      <w:spacing w:before="120"/>
      <w:jc w:val="center"/>
      <w:outlineLvl w:val="1"/>
    </w:pPr>
    <w:rPr>
      <w:b/>
      <w:bCs/>
      <w:color w:val="auto"/>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locked/>
    <w:rsid w:val="007D0BA9"/>
    <w:rPr>
      <w:rFonts w:cs="Times New Roman"/>
      <w:b/>
      <w:bCs/>
      <w:sz w:val="18"/>
      <w:szCs w:val="18"/>
    </w:rPr>
  </w:style>
  <w:style w:type="table" w:styleId="Rcsostblzat">
    <w:name w:val="Table Grid"/>
    <w:basedOn w:val="Normltblzat"/>
    <w:uiPriority w:val="59"/>
    <w:rsid w:val="005E410E"/>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932972"/>
    <w:rPr>
      <w:rFonts w:cs="Times New Roman"/>
      <w:color w:val="0000FF"/>
      <w:u w:val="single"/>
    </w:rPr>
  </w:style>
  <w:style w:type="paragraph" w:styleId="lfej">
    <w:name w:val="header"/>
    <w:basedOn w:val="Norml"/>
    <w:link w:val="lfejChar"/>
    <w:uiPriority w:val="99"/>
    <w:rsid w:val="00932972"/>
    <w:pPr>
      <w:tabs>
        <w:tab w:val="center" w:pos="4536"/>
        <w:tab w:val="right" w:pos="9072"/>
      </w:tabs>
    </w:pPr>
  </w:style>
  <w:style w:type="character" w:customStyle="1" w:styleId="lfejChar">
    <w:name w:val="Élőfej Char"/>
    <w:basedOn w:val="Bekezdsalapbettpusa"/>
    <w:link w:val="lfej"/>
    <w:uiPriority w:val="99"/>
    <w:semiHidden/>
    <w:locked/>
    <w:rsid w:val="00067175"/>
    <w:rPr>
      <w:rFonts w:cs="Times New Roman"/>
      <w:color w:val="000000"/>
      <w:sz w:val="20"/>
      <w:szCs w:val="20"/>
    </w:rPr>
  </w:style>
  <w:style w:type="paragraph" w:styleId="llb">
    <w:name w:val="footer"/>
    <w:basedOn w:val="Norml"/>
    <w:link w:val="llbChar"/>
    <w:uiPriority w:val="99"/>
    <w:rsid w:val="00932972"/>
    <w:pPr>
      <w:tabs>
        <w:tab w:val="center" w:pos="4536"/>
        <w:tab w:val="right" w:pos="9072"/>
      </w:tabs>
    </w:pPr>
  </w:style>
  <w:style w:type="character" w:customStyle="1" w:styleId="llbChar">
    <w:name w:val="Élőláb Char"/>
    <w:basedOn w:val="Bekezdsalapbettpusa"/>
    <w:link w:val="llb"/>
    <w:uiPriority w:val="99"/>
    <w:semiHidden/>
    <w:locked/>
    <w:rsid w:val="00067175"/>
    <w:rPr>
      <w:rFonts w:cs="Times New Roman"/>
      <w:color w:val="000000"/>
      <w:sz w:val="20"/>
      <w:szCs w:val="20"/>
    </w:rPr>
  </w:style>
  <w:style w:type="paragraph" w:styleId="Buborkszveg">
    <w:name w:val="Balloon Text"/>
    <w:basedOn w:val="Norml"/>
    <w:link w:val="BuborkszvegChar"/>
    <w:uiPriority w:val="99"/>
    <w:semiHidden/>
    <w:rsid w:val="0015388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067175"/>
    <w:rPr>
      <w:rFonts w:ascii="Tahoma" w:hAnsi="Tahoma" w:cs="Tahoma"/>
      <w:color w:val="000000"/>
      <w:sz w:val="16"/>
      <w:szCs w:val="16"/>
    </w:rPr>
  </w:style>
  <w:style w:type="paragraph" w:styleId="Szvegtrzs">
    <w:name w:val="Body Text"/>
    <w:basedOn w:val="Norml"/>
    <w:link w:val="SzvegtrzsChar"/>
    <w:uiPriority w:val="99"/>
    <w:rsid w:val="007C13A6"/>
    <w:pPr>
      <w:spacing w:after="120"/>
    </w:pPr>
  </w:style>
  <w:style w:type="character" w:customStyle="1" w:styleId="SzvegtrzsChar">
    <w:name w:val="Szövegtörzs Char"/>
    <w:basedOn w:val="Bekezdsalapbettpusa"/>
    <w:link w:val="Szvegtrzs"/>
    <w:uiPriority w:val="99"/>
    <w:semiHidden/>
    <w:locked/>
    <w:rsid w:val="00067175"/>
    <w:rPr>
      <w:rFonts w:cs="Times New Roman"/>
      <w:color w:val="000000"/>
      <w:sz w:val="20"/>
      <w:szCs w:val="20"/>
    </w:rPr>
  </w:style>
  <w:style w:type="paragraph" w:styleId="Szvegtrzsbehzssal">
    <w:name w:val="Body Text Indent"/>
    <w:basedOn w:val="Norml"/>
    <w:link w:val="SzvegtrzsbehzssalChar"/>
    <w:uiPriority w:val="99"/>
    <w:rsid w:val="007D0BA9"/>
    <w:pPr>
      <w:spacing w:after="120"/>
      <w:ind w:left="283"/>
    </w:pPr>
  </w:style>
  <w:style w:type="character" w:customStyle="1" w:styleId="SzvegtrzsbehzssalChar">
    <w:name w:val="Szövegtörzs behúzással Char"/>
    <w:basedOn w:val="Bekezdsalapbettpusa"/>
    <w:link w:val="Szvegtrzsbehzssal"/>
    <w:uiPriority w:val="99"/>
    <w:locked/>
    <w:rsid w:val="007D0BA9"/>
    <w:rPr>
      <w:rFonts w:cs="Times New Roman"/>
      <w:color w:val="000000"/>
    </w:rPr>
  </w:style>
  <w:style w:type="character" w:customStyle="1" w:styleId="Bodytext">
    <w:name w:val="Body text_"/>
    <w:basedOn w:val="Bekezdsalapbettpusa"/>
    <w:link w:val="Szvegtrzs1"/>
    <w:rsid w:val="00552F01"/>
    <w:rPr>
      <w:rFonts w:ascii="Arial" w:eastAsia="Arial" w:hAnsi="Arial" w:cs="Arial"/>
      <w:sz w:val="15"/>
      <w:szCs w:val="15"/>
      <w:shd w:val="clear" w:color="auto" w:fill="FFFFFF"/>
    </w:rPr>
  </w:style>
  <w:style w:type="character" w:customStyle="1" w:styleId="Bodytext12">
    <w:name w:val="Body text (12)_"/>
    <w:basedOn w:val="Bekezdsalapbettpusa"/>
    <w:link w:val="Bodytext120"/>
    <w:rsid w:val="00552F01"/>
    <w:rPr>
      <w:rFonts w:ascii="Arial" w:eastAsia="Arial" w:hAnsi="Arial" w:cs="Arial"/>
      <w:sz w:val="15"/>
      <w:szCs w:val="15"/>
      <w:shd w:val="clear" w:color="auto" w:fill="FFFFFF"/>
    </w:rPr>
  </w:style>
  <w:style w:type="character" w:customStyle="1" w:styleId="Bodytext15">
    <w:name w:val="Body text (15)_"/>
    <w:basedOn w:val="Bekezdsalapbettpusa"/>
    <w:link w:val="Bodytext150"/>
    <w:rsid w:val="00552F01"/>
    <w:rPr>
      <w:rFonts w:ascii="Arial" w:eastAsia="Arial" w:hAnsi="Arial" w:cs="Arial"/>
      <w:sz w:val="15"/>
      <w:szCs w:val="15"/>
      <w:shd w:val="clear" w:color="auto" w:fill="FFFFFF"/>
    </w:rPr>
  </w:style>
  <w:style w:type="character" w:customStyle="1" w:styleId="Bodytext16">
    <w:name w:val="Body text (16)_"/>
    <w:basedOn w:val="Bekezdsalapbettpusa"/>
    <w:link w:val="Bodytext160"/>
    <w:rsid w:val="00552F01"/>
    <w:rPr>
      <w:rFonts w:ascii="Arial" w:eastAsia="Arial" w:hAnsi="Arial" w:cs="Arial"/>
      <w:sz w:val="15"/>
      <w:szCs w:val="15"/>
      <w:shd w:val="clear" w:color="auto" w:fill="FFFFFF"/>
    </w:rPr>
  </w:style>
  <w:style w:type="character" w:customStyle="1" w:styleId="Bodytext16NotItalic">
    <w:name w:val="Body text (16) + Not Italic"/>
    <w:basedOn w:val="Bodytext16"/>
    <w:rsid w:val="00552F01"/>
    <w:rPr>
      <w:rFonts w:ascii="Arial" w:eastAsia="Arial" w:hAnsi="Arial" w:cs="Arial"/>
      <w:i/>
      <w:iCs/>
      <w:sz w:val="15"/>
      <w:szCs w:val="15"/>
      <w:shd w:val="clear" w:color="auto" w:fill="FFFFFF"/>
    </w:rPr>
  </w:style>
  <w:style w:type="character" w:customStyle="1" w:styleId="BodytextItalic">
    <w:name w:val="Body text + Italic"/>
    <w:basedOn w:val="Bodytext"/>
    <w:rsid w:val="00552F01"/>
    <w:rPr>
      <w:rFonts w:ascii="Arial" w:eastAsia="Arial" w:hAnsi="Arial" w:cs="Arial"/>
      <w:i/>
      <w:iCs/>
      <w:sz w:val="15"/>
      <w:szCs w:val="15"/>
      <w:shd w:val="clear" w:color="auto" w:fill="FFFFFF"/>
    </w:rPr>
  </w:style>
  <w:style w:type="character" w:customStyle="1" w:styleId="Bodytext16Bold">
    <w:name w:val="Body text (16) + Bold"/>
    <w:basedOn w:val="Bodytext16"/>
    <w:rsid w:val="00552F01"/>
    <w:rPr>
      <w:rFonts w:ascii="Arial" w:eastAsia="Arial" w:hAnsi="Arial" w:cs="Arial"/>
      <w:b/>
      <w:bCs/>
      <w:sz w:val="15"/>
      <w:szCs w:val="15"/>
      <w:shd w:val="clear" w:color="auto" w:fill="FFFFFF"/>
    </w:rPr>
  </w:style>
  <w:style w:type="character" w:customStyle="1" w:styleId="BodytextBoldItalic">
    <w:name w:val="Body text + Bold;Italic"/>
    <w:basedOn w:val="Bodytext"/>
    <w:rsid w:val="00552F01"/>
    <w:rPr>
      <w:rFonts w:ascii="Arial" w:eastAsia="Arial" w:hAnsi="Arial" w:cs="Arial"/>
      <w:b/>
      <w:bCs/>
      <w:i/>
      <w:iCs/>
      <w:sz w:val="15"/>
      <w:szCs w:val="15"/>
      <w:shd w:val="clear" w:color="auto" w:fill="FFFFFF"/>
    </w:rPr>
  </w:style>
  <w:style w:type="character" w:customStyle="1" w:styleId="Bodytext1645ptNotItalic">
    <w:name w:val="Body text (16) + 4;5 pt;Not Italic"/>
    <w:basedOn w:val="Bodytext16"/>
    <w:rsid w:val="00552F01"/>
    <w:rPr>
      <w:rFonts w:ascii="Arial" w:eastAsia="Arial" w:hAnsi="Arial" w:cs="Arial"/>
      <w:i/>
      <w:iCs/>
      <w:sz w:val="9"/>
      <w:szCs w:val="9"/>
      <w:shd w:val="clear" w:color="auto" w:fill="FFFFFF"/>
    </w:rPr>
  </w:style>
  <w:style w:type="character" w:customStyle="1" w:styleId="Bodytext15BoldItalic">
    <w:name w:val="Body text (15) + Bold;Italic"/>
    <w:basedOn w:val="Bodytext15"/>
    <w:rsid w:val="00552F01"/>
    <w:rPr>
      <w:rFonts w:ascii="Arial" w:eastAsia="Arial" w:hAnsi="Arial" w:cs="Arial"/>
      <w:b/>
      <w:bCs/>
      <w:i/>
      <w:iCs/>
      <w:sz w:val="15"/>
      <w:szCs w:val="15"/>
      <w:shd w:val="clear" w:color="auto" w:fill="FFFFFF"/>
    </w:rPr>
  </w:style>
  <w:style w:type="character" w:customStyle="1" w:styleId="Bodytext15Italic">
    <w:name w:val="Body text (15) + Italic"/>
    <w:basedOn w:val="Bodytext15"/>
    <w:rsid w:val="00552F01"/>
    <w:rPr>
      <w:rFonts w:ascii="Arial" w:eastAsia="Arial" w:hAnsi="Arial" w:cs="Arial"/>
      <w:i/>
      <w:iCs/>
      <w:sz w:val="15"/>
      <w:szCs w:val="15"/>
      <w:shd w:val="clear" w:color="auto" w:fill="FFFFFF"/>
    </w:rPr>
  </w:style>
  <w:style w:type="paragraph" w:customStyle="1" w:styleId="Szvegtrzs1">
    <w:name w:val="Szövegtörzs1"/>
    <w:basedOn w:val="Norml"/>
    <w:link w:val="Bodytext"/>
    <w:rsid w:val="00552F01"/>
    <w:pPr>
      <w:shd w:val="clear" w:color="auto" w:fill="FFFFFF"/>
      <w:suppressAutoHyphens w:val="0"/>
      <w:spacing w:before="60" w:line="220" w:lineRule="exact"/>
      <w:ind w:hanging="300"/>
      <w:jc w:val="center"/>
    </w:pPr>
    <w:rPr>
      <w:rFonts w:ascii="Arial" w:eastAsia="Arial" w:hAnsi="Arial" w:cs="Arial"/>
      <w:color w:val="auto"/>
      <w:sz w:val="15"/>
      <w:szCs w:val="15"/>
    </w:rPr>
  </w:style>
  <w:style w:type="paragraph" w:customStyle="1" w:styleId="Bodytext120">
    <w:name w:val="Body text (12)"/>
    <w:basedOn w:val="Norml"/>
    <w:link w:val="Bodytext12"/>
    <w:rsid w:val="00552F01"/>
    <w:pPr>
      <w:shd w:val="clear" w:color="auto" w:fill="FFFFFF"/>
      <w:suppressAutoHyphens w:val="0"/>
      <w:spacing w:line="0" w:lineRule="atLeast"/>
      <w:ind w:hanging="300"/>
    </w:pPr>
    <w:rPr>
      <w:rFonts w:ascii="Arial" w:eastAsia="Arial" w:hAnsi="Arial" w:cs="Arial"/>
      <w:color w:val="auto"/>
      <w:sz w:val="15"/>
      <w:szCs w:val="15"/>
    </w:rPr>
  </w:style>
  <w:style w:type="paragraph" w:customStyle="1" w:styleId="Bodytext150">
    <w:name w:val="Body text (15)"/>
    <w:basedOn w:val="Norml"/>
    <w:link w:val="Bodytext15"/>
    <w:rsid w:val="00552F01"/>
    <w:pPr>
      <w:shd w:val="clear" w:color="auto" w:fill="FFFFFF"/>
      <w:suppressAutoHyphens w:val="0"/>
      <w:spacing w:before="60" w:after="60" w:line="173" w:lineRule="exact"/>
      <w:ind w:hanging="280"/>
      <w:jc w:val="both"/>
    </w:pPr>
    <w:rPr>
      <w:rFonts w:ascii="Arial" w:eastAsia="Arial" w:hAnsi="Arial" w:cs="Arial"/>
      <w:color w:val="auto"/>
      <w:sz w:val="15"/>
      <w:szCs w:val="15"/>
    </w:rPr>
  </w:style>
  <w:style w:type="paragraph" w:customStyle="1" w:styleId="Bodytext160">
    <w:name w:val="Body text (16)"/>
    <w:basedOn w:val="Norml"/>
    <w:link w:val="Bodytext16"/>
    <w:rsid w:val="00552F01"/>
    <w:pPr>
      <w:shd w:val="clear" w:color="auto" w:fill="FFFFFF"/>
      <w:suppressAutoHyphens w:val="0"/>
      <w:spacing w:before="120" w:after="120" w:line="0" w:lineRule="atLeast"/>
      <w:ind w:hanging="300"/>
      <w:jc w:val="both"/>
    </w:pPr>
    <w:rPr>
      <w:rFonts w:ascii="Arial" w:eastAsia="Arial" w:hAnsi="Arial" w:cs="Arial"/>
      <w:color w:val="auto"/>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7811"/>
    <w:pPr>
      <w:suppressAutoHyphens/>
    </w:pPr>
    <w:rPr>
      <w:color w:val="000000"/>
    </w:rPr>
  </w:style>
  <w:style w:type="paragraph" w:styleId="Cmsor2">
    <w:name w:val="heading 2"/>
    <w:basedOn w:val="Norml"/>
    <w:next w:val="Norml"/>
    <w:link w:val="Cmsor2Char"/>
    <w:uiPriority w:val="9"/>
    <w:qFormat/>
    <w:rsid w:val="007D0BA9"/>
    <w:pPr>
      <w:keepNext/>
      <w:suppressAutoHyphens w:val="0"/>
      <w:spacing w:before="120"/>
      <w:jc w:val="center"/>
      <w:outlineLvl w:val="1"/>
    </w:pPr>
    <w:rPr>
      <w:b/>
      <w:bCs/>
      <w:color w:val="auto"/>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locked/>
    <w:rsid w:val="007D0BA9"/>
    <w:rPr>
      <w:rFonts w:cs="Times New Roman"/>
      <w:b/>
      <w:bCs/>
      <w:sz w:val="18"/>
      <w:szCs w:val="18"/>
    </w:rPr>
  </w:style>
  <w:style w:type="table" w:styleId="Rcsostblzat">
    <w:name w:val="Table Grid"/>
    <w:basedOn w:val="Normltblzat"/>
    <w:uiPriority w:val="59"/>
    <w:rsid w:val="005E410E"/>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932972"/>
    <w:rPr>
      <w:rFonts w:cs="Times New Roman"/>
      <w:color w:val="0000FF"/>
      <w:u w:val="single"/>
    </w:rPr>
  </w:style>
  <w:style w:type="paragraph" w:styleId="lfej">
    <w:name w:val="header"/>
    <w:basedOn w:val="Norml"/>
    <w:link w:val="lfejChar"/>
    <w:uiPriority w:val="99"/>
    <w:rsid w:val="00932972"/>
    <w:pPr>
      <w:tabs>
        <w:tab w:val="center" w:pos="4536"/>
        <w:tab w:val="right" w:pos="9072"/>
      </w:tabs>
    </w:pPr>
  </w:style>
  <w:style w:type="character" w:customStyle="1" w:styleId="lfejChar">
    <w:name w:val="Élőfej Char"/>
    <w:basedOn w:val="Bekezdsalapbettpusa"/>
    <w:link w:val="lfej"/>
    <w:uiPriority w:val="99"/>
    <w:semiHidden/>
    <w:locked/>
    <w:rsid w:val="00067175"/>
    <w:rPr>
      <w:rFonts w:cs="Times New Roman"/>
      <w:color w:val="000000"/>
      <w:sz w:val="20"/>
      <w:szCs w:val="20"/>
    </w:rPr>
  </w:style>
  <w:style w:type="paragraph" w:styleId="llb">
    <w:name w:val="footer"/>
    <w:basedOn w:val="Norml"/>
    <w:link w:val="llbChar"/>
    <w:uiPriority w:val="99"/>
    <w:rsid w:val="00932972"/>
    <w:pPr>
      <w:tabs>
        <w:tab w:val="center" w:pos="4536"/>
        <w:tab w:val="right" w:pos="9072"/>
      </w:tabs>
    </w:pPr>
  </w:style>
  <w:style w:type="character" w:customStyle="1" w:styleId="llbChar">
    <w:name w:val="Élőláb Char"/>
    <w:basedOn w:val="Bekezdsalapbettpusa"/>
    <w:link w:val="llb"/>
    <w:uiPriority w:val="99"/>
    <w:semiHidden/>
    <w:locked/>
    <w:rsid w:val="00067175"/>
    <w:rPr>
      <w:rFonts w:cs="Times New Roman"/>
      <w:color w:val="000000"/>
      <w:sz w:val="20"/>
      <w:szCs w:val="20"/>
    </w:rPr>
  </w:style>
  <w:style w:type="paragraph" w:styleId="Buborkszveg">
    <w:name w:val="Balloon Text"/>
    <w:basedOn w:val="Norml"/>
    <w:link w:val="BuborkszvegChar"/>
    <w:uiPriority w:val="99"/>
    <w:semiHidden/>
    <w:rsid w:val="0015388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067175"/>
    <w:rPr>
      <w:rFonts w:ascii="Tahoma" w:hAnsi="Tahoma" w:cs="Tahoma"/>
      <w:color w:val="000000"/>
      <w:sz w:val="16"/>
      <w:szCs w:val="16"/>
    </w:rPr>
  </w:style>
  <w:style w:type="paragraph" w:styleId="Szvegtrzs">
    <w:name w:val="Body Text"/>
    <w:basedOn w:val="Norml"/>
    <w:link w:val="SzvegtrzsChar"/>
    <w:uiPriority w:val="99"/>
    <w:rsid w:val="007C13A6"/>
    <w:pPr>
      <w:spacing w:after="120"/>
    </w:pPr>
  </w:style>
  <w:style w:type="character" w:customStyle="1" w:styleId="SzvegtrzsChar">
    <w:name w:val="Szövegtörzs Char"/>
    <w:basedOn w:val="Bekezdsalapbettpusa"/>
    <w:link w:val="Szvegtrzs"/>
    <w:uiPriority w:val="99"/>
    <w:semiHidden/>
    <w:locked/>
    <w:rsid w:val="00067175"/>
    <w:rPr>
      <w:rFonts w:cs="Times New Roman"/>
      <w:color w:val="000000"/>
      <w:sz w:val="20"/>
      <w:szCs w:val="20"/>
    </w:rPr>
  </w:style>
  <w:style w:type="paragraph" w:styleId="Szvegtrzsbehzssal">
    <w:name w:val="Body Text Indent"/>
    <w:basedOn w:val="Norml"/>
    <w:link w:val="SzvegtrzsbehzssalChar"/>
    <w:uiPriority w:val="99"/>
    <w:rsid w:val="007D0BA9"/>
    <w:pPr>
      <w:spacing w:after="120"/>
      <w:ind w:left="283"/>
    </w:pPr>
  </w:style>
  <w:style w:type="character" w:customStyle="1" w:styleId="SzvegtrzsbehzssalChar">
    <w:name w:val="Szövegtörzs behúzással Char"/>
    <w:basedOn w:val="Bekezdsalapbettpusa"/>
    <w:link w:val="Szvegtrzsbehzssal"/>
    <w:uiPriority w:val="99"/>
    <w:locked/>
    <w:rsid w:val="007D0BA9"/>
    <w:rPr>
      <w:rFonts w:cs="Times New Roman"/>
      <w:color w:val="000000"/>
    </w:rPr>
  </w:style>
  <w:style w:type="character" w:customStyle="1" w:styleId="Bodytext">
    <w:name w:val="Body text_"/>
    <w:basedOn w:val="Bekezdsalapbettpusa"/>
    <w:link w:val="Szvegtrzs1"/>
    <w:rsid w:val="00552F01"/>
    <w:rPr>
      <w:rFonts w:ascii="Arial" w:eastAsia="Arial" w:hAnsi="Arial" w:cs="Arial"/>
      <w:sz w:val="15"/>
      <w:szCs w:val="15"/>
      <w:shd w:val="clear" w:color="auto" w:fill="FFFFFF"/>
    </w:rPr>
  </w:style>
  <w:style w:type="character" w:customStyle="1" w:styleId="Bodytext12">
    <w:name w:val="Body text (12)_"/>
    <w:basedOn w:val="Bekezdsalapbettpusa"/>
    <w:link w:val="Bodytext120"/>
    <w:rsid w:val="00552F01"/>
    <w:rPr>
      <w:rFonts w:ascii="Arial" w:eastAsia="Arial" w:hAnsi="Arial" w:cs="Arial"/>
      <w:sz w:val="15"/>
      <w:szCs w:val="15"/>
      <w:shd w:val="clear" w:color="auto" w:fill="FFFFFF"/>
    </w:rPr>
  </w:style>
  <w:style w:type="character" w:customStyle="1" w:styleId="Bodytext15">
    <w:name w:val="Body text (15)_"/>
    <w:basedOn w:val="Bekezdsalapbettpusa"/>
    <w:link w:val="Bodytext150"/>
    <w:rsid w:val="00552F01"/>
    <w:rPr>
      <w:rFonts w:ascii="Arial" w:eastAsia="Arial" w:hAnsi="Arial" w:cs="Arial"/>
      <w:sz w:val="15"/>
      <w:szCs w:val="15"/>
      <w:shd w:val="clear" w:color="auto" w:fill="FFFFFF"/>
    </w:rPr>
  </w:style>
  <w:style w:type="character" w:customStyle="1" w:styleId="Bodytext16">
    <w:name w:val="Body text (16)_"/>
    <w:basedOn w:val="Bekezdsalapbettpusa"/>
    <w:link w:val="Bodytext160"/>
    <w:rsid w:val="00552F01"/>
    <w:rPr>
      <w:rFonts w:ascii="Arial" w:eastAsia="Arial" w:hAnsi="Arial" w:cs="Arial"/>
      <w:sz w:val="15"/>
      <w:szCs w:val="15"/>
      <w:shd w:val="clear" w:color="auto" w:fill="FFFFFF"/>
    </w:rPr>
  </w:style>
  <w:style w:type="character" w:customStyle="1" w:styleId="Bodytext16NotItalic">
    <w:name w:val="Body text (16) + Not Italic"/>
    <w:basedOn w:val="Bodytext16"/>
    <w:rsid w:val="00552F01"/>
    <w:rPr>
      <w:rFonts w:ascii="Arial" w:eastAsia="Arial" w:hAnsi="Arial" w:cs="Arial"/>
      <w:i/>
      <w:iCs/>
      <w:sz w:val="15"/>
      <w:szCs w:val="15"/>
      <w:shd w:val="clear" w:color="auto" w:fill="FFFFFF"/>
    </w:rPr>
  </w:style>
  <w:style w:type="character" w:customStyle="1" w:styleId="BodytextItalic">
    <w:name w:val="Body text + Italic"/>
    <w:basedOn w:val="Bodytext"/>
    <w:rsid w:val="00552F01"/>
    <w:rPr>
      <w:rFonts w:ascii="Arial" w:eastAsia="Arial" w:hAnsi="Arial" w:cs="Arial"/>
      <w:i/>
      <w:iCs/>
      <w:sz w:val="15"/>
      <w:szCs w:val="15"/>
      <w:shd w:val="clear" w:color="auto" w:fill="FFFFFF"/>
    </w:rPr>
  </w:style>
  <w:style w:type="character" w:customStyle="1" w:styleId="Bodytext16Bold">
    <w:name w:val="Body text (16) + Bold"/>
    <w:basedOn w:val="Bodytext16"/>
    <w:rsid w:val="00552F01"/>
    <w:rPr>
      <w:rFonts w:ascii="Arial" w:eastAsia="Arial" w:hAnsi="Arial" w:cs="Arial"/>
      <w:b/>
      <w:bCs/>
      <w:sz w:val="15"/>
      <w:szCs w:val="15"/>
      <w:shd w:val="clear" w:color="auto" w:fill="FFFFFF"/>
    </w:rPr>
  </w:style>
  <w:style w:type="character" w:customStyle="1" w:styleId="BodytextBoldItalic">
    <w:name w:val="Body text + Bold;Italic"/>
    <w:basedOn w:val="Bodytext"/>
    <w:rsid w:val="00552F01"/>
    <w:rPr>
      <w:rFonts w:ascii="Arial" w:eastAsia="Arial" w:hAnsi="Arial" w:cs="Arial"/>
      <w:b/>
      <w:bCs/>
      <w:i/>
      <w:iCs/>
      <w:sz w:val="15"/>
      <w:szCs w:val="15"/>
      <w:shd w:val="clear" w:color="auto" w:fill="FFFFFF"/>
    </w:rPr>
  </w:style>
  <w:style w:type="character" w:customStyle="1" w:styleId="Bodytext1645ptNotItalic">
    <w:name w:val="Body text (16) + 4;5 pt;Not Italic"/>
    <w:basedOn w:val="Bodytext16"/>
    <w:rsid w:val="00552F01"/>
    <w:rPr>
      <w:rFonts w:ascii="Arial" w:eastAsia="Arial" w:hAnsi="Arial" w:cs="Arial"/>
      <w:i/>
      <w:iCs/>
      <w:sz w:val="9"/>
      <w:szCs w:val="9"/>
      <w:shd w:val="clear" w:color="auto" w:fill="FFFFFF"/>
    </w:rPr>
  </w:style>
  <w:style w:type="character" w:customStyle="1" w:styleId="Bodytext15BoldItalic">
    <w:name w:val="Body text (15) + Bold;Italic"/>
    <w:basedOn w:val="Bodytext15"/>
    <w:rsid w:val="00552F01"/>
    <w:rPr>
      <w:rFonts w:ascii="Arial" w:eastAsia="Arial" w:hAnsi="Arial" w:cs="Arial"/>
      <w:b/>
      <w:bCs/>
      <w:i/>
      <w:iCs/>
      <w:sz w:val="15"/>
      <w:szCs w:val="15"/>
      <w:shd w:val="clear" w:color="auto" w:fill="FFFFFF"/>
    </w:rPr>
  </w:style>
  <w:style w:type="character" w:customStyle="1" w:styleId="Bodytext15Italic">
    <w:name w:val="Body text (15) + Italic"/>
    <w:basedOn w:val="Bodytext15"/>
    <w:rsid w:val="00552F01"/>
    <w:rPr>
      <w:rFonts w:ascii="Arial" w:eastAsia="Arial" w:hAnsi="Arial" w:cs="Arial"/>
      <w:i/>
      <w:iCs/>
      <w:sz w:val="15"/>
      <w:szCs w:val="15"/>
      <w:shd w:val="clear" w:color="auto" w:fill="FFFFFF"/>
    </w:rPr>
  </w:style>
  <w:style w:type="paragraph" w:customStyle="1" w:styleId="Szvegtrzs1">
    <w:name w:val="Szövegtörzs1"/>
    <w:basedOn w:val="Norml"/>
    <w:link w:val="Bodytext"/>
    <w:rsid w:val="00552F01"/>
    <w:pPr>
      <w:shd w:val="clear" w:color="auto" w:fill="FFFFFF"/>
      <w:suppressAutoHyphens w:val="0"/>
      <w:spacing w:before="60" w:line="220" w:lineRule="exact"/>
      <w:ind w:hanging="300"/>
      <w:jc w:val="center"/>
    </w:pPr>
    <w:rPr>
      <w:rFonts w:ascii="Arial" w:eastAsia="Arial" w:hAnsi="Arial" w:cs="Arial"/>
      <w:color w:val="auto"/>
      <w:sz w:val="15"/>
      <w:szCs w:val="15"/>
    </w:rPr>
  </w:style>
  <w:style w:type="paragraph" w:customStyle="1" w:styleId="Bodytext120">
    <w:name w:val="Body text (12)"/>
    <w:basedOn w:val="Norml"/>
    <w:link w:val="Bodytext12"/>
    <w:rsid w:val="00552F01"/>
    <w:pPr>
      <w:shd w:val="clear" w:color="auto" w:fill="FFFFFF"/>
      <w:suppressAutoHyphens w:val="0"/>
      <w:spacing w:line="0" w:lineRule="atLeast"/>
      <w:ind w:hanging="300"/>
    </w:pPr>
    <w:rPr>
      <w:rFonts w:ascii="Arial" w:eastAsia="Arial" w:hAnsi="Arial" w:cs="Arial"/>
      <w:color w:val="auto"/>
      <w:sz w:val="15"/>
      <w:szCs w:val="15"/>
    </w:rPr>
  </w:style>
  <w:style w:type="paragraph" w:customStyle="1" w:styleId="Bodytext150">
    <w:name w:val="Body text (15)"/>
    <w:basedOn w:val="Norml"/>
    <w:link w:val="Bodytext15"/>
    <w:rsid w:val="00552F01"/>
    <w:pPr>
      <w:shd w:val="clear" w:color="auto" w:fill="FFFFFF"/>
      <w:suppressAutoHyphens w:val="0"/>
      <w:spacing w:before="60" w:after="60" w:line="173" w:lineRule="exact"/>
      <w:ind w:hanging="280"/>
      <w:jc w:val="both"/>
    </w:pPr>
    <w:rPr>
      <w:rFonts w:ascii="Arial" w:eastAsia="Arial" w:hAnsi="Arial" w:cs="Arial"/>
      <w:color w:val="auto"/>
      <w:sz w:val="15"/>
      <w:szCs w:val="15"/>
    </w:rPr>
  </w:style>
  <w:style w:type="paragraph" w:customStyle="1" w:styleId="Bodytext160">
    <w:name w:val="Body text (16)"/>
    <w:basedOn w:val="Norml"/>
    <w:link w:val="Bodytext16"/>
    <w:rsid w:val="00552F01"/>
    <w:pPr>
      <w:shd w:val="clear" w:color="auto" w:fill="FFFFFF"/>
      <w:suppressAutoHyphens w:val="0"/>
      <w:spacing w:before="120" w:after="120" w:line="0" w:lineRule="atLeast"/>
      <w:ind w:hanging="300"/>
      <w:jc w:val="both"/>
    </w:pPr>
    <w:rPr>
      <w:rFonts w:ascii="Arial" w:eastAsia="Arial" w:hAnsi="Arial" w:cs="Arial"/>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77452">
      <w:marLeft w:val="0"/>
      <w:marRight w:val="0"/>
      <w:marTop w:val="0"/>
      <w:marBottom w:val="0"/>
      <w:divBdr>
        <w:top w:val="none" w:sz="0" w:space="0" w:color="auto"/>
        <w:left w:val="none" w:sz="0" w:space="0" w:color="auto"/>
        <w:bottom w:val="none" w:sz="0" w:space="0" w:color="auto"/>
        <w:right w:val="none" w:sz="0" w:space="0" w:color="auto"/>
      </w:divBdr>
    </w:div>
    <w:div w:id="2099477453">
      <w:marLeft w:val="0"/>
      <w:marRight w:val="0"/>
      <w:marTop w:val="0"/>
      <w:marBottom w:val="0"/>
      <w:divBdr>
        <w:top w:val="none" w:sz="0" w:space="0" w:color="auto"/>
        <w:left w:val="none" w:sz="0" w:space="0" w:color="auto"/>
        <w:bottom w:val="none" w:sz="0" w:space="0" w:color="auto"/>
        <w:right w:val="none" w:sz="0" w:space="0" w:color="auto"/>
      </w:divBdr>
    </w:div>
    <w:div w:id="2099477454">
      <w:marLeft w:val="0"/>
      <w:marRight w:val="0"/>
      <w:marTop w:val="0"/>
      <w:marBottom w:val="0"/>
      <w:divBdr>
        <w:top w:val="none" w:sz="0" w:space="0" w:color="auto"/>
        <w:left w:val="none" w:sz="0" w:space="0" w:color="auto"/>
        <w:bottom w:val="none" w:sz="0" w:space="0" w:color="auto"/>
        <w:right w:val="none" w:sz="0" w:space="0" w:color="auto"/>
      </w:divBdr>
    </w:div>
    <w:div w:id="2099477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2693</Words>
  <Characters>18584</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Kondíciós lista</vt:lpstr>
    </vt:vector>
  </TitlesOfParts>
  <Company>AXON RT</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Kondíciós lista</dc:title>
  <dc:creator>Jenei Viktor</dc:creator>
  <cp:lastModifiedBy>Asus</cp:lastModifiedBy>
  <cp:revision>2</cp:revision>
  <cp:lastPrinted>2012-05-03T09:29:00Z</cp:lastPrinted>
  <dcterms:created xsi:type="dcterms:W3CDTF">2015-03-02T12:37:00Z</dcterms:created>
  <dcterms:modified xsi:type="dcterms:W3CDTF">2015-03-02T12:37:00Z</dcterms:modified>
</cp:coreProperties>
</file>